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2EDC1F" w14:textId="77777777" w:rsidR="00711ADF" w:rsidRDefault="00711ADF" w:rsidP="00711ADF">
      <w:pPr>
        <w:pStyle w:val="Heading2"/>
        <w:jc w:val="center"/>
      </w:pPr>
      <w:bookmarkStart w:id="0" w:name="_Toc524010320"/>
      <w:r w:rsidRPr="00EC28D6">
        <w:t xml:space="preserve">EXHIBIT A:  </w:t>
      </w:r>
      <w:r w:rsidRPr="00EC28D6">
        <w:br/>
        <w:t>LICENSED SERVICES AND PRODUCT FEES</w:t>
      </w:r>
      <w:bookmarkEnd w:id="0"/>
    </w:p>
    <w:p w14:paraId="4ABF61A9" w14:textId="77777777" w:rsidR="00711ADF" w:rsidRPr="00EC28D6" w:rsidRDefault="00711ADF" w:rsidP="00711ADF">
      <w:pPr>
        <w:jc w:val="center"/>
        <w:rPr>
          <w:b/>
          <w:bCs/>
          <w:sz w:val="28"/>
          <w:szCs w:val="28"/>
        </w:rPr>
      </w:pPr>
      <w:r w:rsidRPr="00EC28D6">
        <w:rPr>
          <w:b/>
          <w:bCs/>
          <w:sz w:val="28"/>
          <w:szCs w:val="28"/>
        </w:rPr>
        <w:t>Effective Date:  8/1/2021</w:t>
      </w:r>
      <w:r>
        <w:t xml:space="preserve">                                                 </w:t>
      </w:r>
    </w:p>
    <w:tbl>
      <w:tblPr>
        <w:tblStyle w:val="TableGrid"/>
        <w:tblW w:w="5094" w:type="pct"/>
        <w:tblInd w:w="0" w:type="dxa"/>
        <w:tblCellMar>
          <w:top w:w="54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31"/>
        <w:gridCol w:w="2859"/>
        <w:gridCol w:w="4126"/>
      </w:tblGrid>
      <w:tr w:rsidR="00711ADF" w14:paraId="3C4C62C1" w14:textId="77777777" w:rsidTr="00244EDD">
        <w:trPr>
          <w:trHeight w:val="650"/>
        </w:trPr>
        <w:tc>
          <w:tcPr>
            <w:tcW w:w="13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2B127D6B" w14:textId="77777777" w:rsidR="00711ADF" w:rsidRPr="00A075C4" w:rsidRDefault="00711ADF" w:rsidP="00244EDD">
            <w:pPr>
              <w:jc w:val="left"/>
              <w:rPr>
                <w:b/>
              </w:rPr>
            </w:pPr>
            <w:r w:rsidRPr="00A075C4">
              <w:rPr>
                <w:b/>
              </w:rPr>
              <w:t xml:space="preserve">Setup Fees </w:t>
            </w:r>
            <w:r>
              <w:rPr>
                <w:b/>
              </w:rPr>
              <w:br/>
            </w:r>
            <w:r w:rsidRPr="00A075C4">
              <w:rPr>
                <w:b/>
              </w:rPr>
              <w:t>(One Time)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F62305C" w14:textId="77777777" w:rsidR="00711ADF" w:rsidRPr="00A075C4" w:rsidRDefault="00711ADF" w:rsidP="00244EDD">
            <w:pPr>
              <w:ind w:right="65"/>
              <w:jc w:val="left"/>
              <w:rPr>
                <w:b/>
              </w:rPr>
            </w:pPr>
            <w:r w:rsidRPr="00A075C4">
              <w:rPr>
                <w:b/>
              </w:rPr>
              <w:t>Fee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14:paraId="74E625FD" w14:textId="77777777" w:rsidR="00711ADF" w:rsidRPr="00A075C4" w:rsidRDefault="00711ADF" w:rsidP="00244EDD">
            <w:pPr>
              <w:jc w:val="left"/>
              <w:rPr>
                <w:b/>
              </w:rPr>
            </w:pPr>
            <w:r w:rsidRPr="00A075C4">
              <w:rPr>
                <w:b/>
              </w:rPr>
              <w:t>Comments</w:t>
            </w:r>
          </w:p>
        </w:tc>
      </w:tr>
      <w:tr w:rsidR="00711ADF" w14:paraId="64D57C36" w14:textId="77777777" w:rsidTr="00244EDD">
        <w:trPr>
          <w:trHeight w:val="650"/>
        </w:trPr>
        <w:tc>
          <w:tcPr>
            <w:tcW w:w="1330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9756C17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FI Setup Fee  </w:t>
            </w:r>
          </w:p>
        </w:tc>
        <w:tc>
          <w:tcPr>
            <w:tcW w:w="1502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8C0905E" w14:textId="77777777" w:rsidR="00711ADF" w:rsidRDefault="00711ADF" w:rsidP="00244EDD">
            <w:pPr>
              <w:spacing w:line="259" w:lineRule="auto"/>
              <w:ind w:right="65"/>
              <w:jc w:val="left"/>
            </w:pPr>
            <w:r>
              <w:t>Waived</w:t>
            </w:r>
          </w:p>
        </w:tc>
        <w:tc>
          <w:tcPr>
            <w:tcW w:w="2168" w:type="pct"/>
            <w:tcBorders>
              <w:top w:val="single" w:sz="4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6F09BD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Includes setting FI up on the Payveris platform, and testing of application and connectivity.   </w:t>
            </w:r>
          </w:p>
        </w:tc>
      </w:tr>
      <w:tr w:rsidR="00711ADF" w14:paraId="0C6F6847" w14:textId="77777777" w:rsidTr="00244EDD">
        <w:trPr>
          <w:trHeight w:val="1123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D0B1AAD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Conversion Fee 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0B50BD" w14:textId="77777777" w:rsidR="00711ADF" w:rsidRDefault="00711ADF" w:rsidP="00244EDD">
            <w:pPr>
              <w:spacing w:line="259" w:lineRule="auto"/>
              <w:ind w:right="63"/>
              <w:jc w:val="left"/>
            </w:pPr>
            <w:r>
              <w:t xml:space="preserve">$1,030.00 </w:t>
            </w:r>
          </w:p>
          <w:p w14:paraId="73254018" w14:textId="77777777" w:rsidR="00711ADF" w:rsidRDefault="00711ADF" w:rsidP="00244EDD">
            <w:pPr>
              <w:spacing w:line="259" w:lineRule="auto"/>
              <w:ind w:right="63"/>
              <w:jc w:val="left"/>
            </w:pPr>
            <w:r>
              <w:t>(</w:t>
            </w:r>
            <w:proofErr w:type="gramStart"/>
            <w:r>
              <w:t>plus</w:t>
            </w:r>
            <w:proofErr w:type="gramEnd"/>
            <w:r>
              <w:t xml:space="preserve"> quote provided for CU*Answers programming fees</w:t>
            </w:r>
          </w:p>
        </w:tc>
        <w:tc>
          <w:tcPr>
            <w:tcW w:w="2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18C5F6" w14:textId="77777777" w:rsidR="00711ADF" w:rsidRDefault="00711ADF" w:rsidP="00244EDD">
            <w:pPr>
              <w:spacing w:line="259" w:lineRule="auto"/>
              <w:ind w:right="58"/>
              <w:jc w:val="left"/>
            </w:pPr>
            <w:r w:rsidRPr="00402726">
              <w:t>Per FI.  Includes the conversion of all payee data, historical payment info up to 18 months, external transfer accounts and future scheduled payments and transfers.  It includes a mock conversion of data and final production conversion.</w:t>
            </w:r>
            <w:r>
              <w:t xml:space="preserve">   </w:t>
            </w:r>
          </w:p>
        </w:tc>
      </w:tr>
      <w:tr w:rsidR="00711ADF" w14:paraId="3E8FF71A" w14:textId="77777777" w:rsidTr="00244EDD">
        <w:trPr>
          <w:trHeight w:val="346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290033A7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Client Deactivation Fee 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07CA4891" w14:textId="77777777" w:rsidR="00711ADF" w:rsidRDefault="00711ADF" w:rsidP="00244EDD">
            <w:pPr>
              <w:spacing w:line="259" w:lineRule="auto"/>
              <w:ind w:right="65"/>
              <w:jc w:val="left"/>
            </w:pPr>
            <w:r>
              <w:t>$515.00</w:t>
            </w:r>
          </w:p>
        </w:tc>
        <w:tc>
          <w:tcPr>
            <w:tcW w:w="2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4E8D4F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Remove access and cancel any scheduled transactions </w:t>
            </w:r>
          </w:p>
        </w:tc>
      </w:tr>
      <w:tr w:rsidR="00711ADF" w14:paraId="30C0C427" w14:textId="77777777" w:rsidTr="00244EDD">
        <w:trPr>
          <w:trHeight w:val="1546"/>
        </w:trPr>
        <w:tc>
          <w:tcPr>
            <w:tcW w:w="133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4076D66" w14:textId="77777777" w:rsidR="00711ADF" w:rsidRDefault="00711ADF" w:rsidP="00244EDD">
            <w:pPr>
              <w:spacing w:line="259" w:lineRule="auto"/>
              <w:jc w:val="left"/>
            </w:pPr>
            <w:r>
              <w:t xml:space="preserve">Client Deconversion Fee </w:t>
            </w:r>
          </w:p>
        </w:tc>
        <w:tc>
          <w:tcPr>
            <w:tcW w:w="1502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1BFCAA70" w14:textId="77777777" w:rsidR="00711ADF" w:rsidRPr="00466607" w:rsidRDefault="00711ADF" w:rsidP="00244EDD">
            <w:pPr>
              <w:spacing w:line="259" w:lineRule="auto"/>
              <w:jc w:val="left"/>
            </w:pPr>
            <w:r w:rsidRPr="00466607">
              <w:t>$5,</w:t>
            </w:r>
            <w:r>
              <w:t>15</w:t>
            </w:r>
            <w:r w:rsidRPr="00466607">
              <w:t xml:space="preserve">0 (minimum) – includes up to 1,000 </w:t>
            </w:r>
            <w:proofErr w:type="gramStart"/>
            <w:r w:rsidRPr="00466607">
              <w:t>subscribers;</w:t>
            </w:r>
            <w:proofErr w:type="gramEnd"/>
            <w:r w:rsidRPr="00466607">
              <w:t xml:space="preserve"> $5.</w:t>
            </w:r>
            <w:r>
              <w:t>15</w:t>
            </w:r>
            <w:r w:rsidRPr="00466607">
              <w:t xml:space="preserve"> per subscriber over 1,000 $7,</w:t>
            </w:r>
            <w:r>
              <w:t>725</w:t>
            </w:r>
            <w:r w:rsidRPr="00466607">
              <w:t xml:space="preserve"> (maximum total)</w:t>
            </w:r>
          </w:p>
        </w:tc>
        <w:tc>
          <w:tcPr>
            <w:tcW w:w="216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234FFF" w14:textId="77777777" w:rsidR="00711ADF" w:rsidRPr="00466607" w:rsidRDefault="00711ADF" w:rsidP="00244EDD">
            <w:pPr>
              <w:spacing w:line="259" w:lineRule="auto"/>
              <w:jc w:val="left"/>
            </w:pPr>
            <w:r w:rsidRPr="00466607">
              <w:t xml:space="preserve">Provides 2 sets of deconversion files including subscribers, Payees, 18 months of history, and scheduled payments </w:t>
            </w:r>
          </w:p>
        </w:tc>
      </w:tr>
    </w:tbl>
    <w:p w14:paraId="6E31CFD3" w14:textId="77777777" w:rsidR="00711ADF" w:rsidRDefault="00711ADF" w:rsidP="00711ADF">
      <w:pPr>
        <w:spacing w:after="0"/>
        <w:ind w:right="1277"/>
        <w:jc w:val="center"/>
      </w:pPr>
      <w:r>
        <w:rPr>
          <w:b/>
        </w:rPr>
        <w:t xml:space="preserve">  </w:t>
      </w:r>
      <w:r>
        <w:rPr>
          <w:b/>
        </w:rPr>
        <w:tab/>
      </w:r>
      <w:r>
        <w:rPr>
          <w:sz w:val="20"/>
        </w:rPr>
        <w:t xml:space="preserve">  </w:t>
      </w:r>
    </w:p>
    <w:p w14:paraId="07FED2AF" w14:textId="77777777" w:rsidR="00711ADF" w:rsidRPr="00122318" w:rsidRDefault="00711ADF" w:rsidP="00711ADF">
      <w:pPr>
        <w:spacing w:after="2"/>
        <w:rPr>
          <w:bCs/>
          <w:i/>
          <w:iCs/>
          <w:sz w:val="20"/>
          <w:szCs w:val="20"/>
        </w:rPr>
      </w:pPr>
      <w:bookmarkStart w:id="1" w:name="_Hlk73625021"/>
      <w:r>
        <w:rPr>
          <w:b/>
        </w:rPr>
        <w:t xml:space="preserve"> </w:t>
      </w:r>
      <w:bookmarkStart w:id="2" w:name="_Hlk73616510"/>
      <w:r>
        <w:rPr>
          <w:b/>
        </w:rPr>
        <w:t>Transaction Fees *</w:t>
      </w:r>
    </w:p>
    <w:tbl>
      <w:tblPr>
        <w:tblStyle w:val="TableGrid"/>
        <w:tblW w:w="5102" w:type="pct"/>
        <w:tblInd w:w="0" w:type="dxa"/>
        <w:tblCellMar>
          <w:top w:w="52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531"/>
        <w:gridCol w:w="2770"/>
        <w:gridCol w:w="4230"/>
      </w:tblGrid>
      <w:tr w:rsidR="00711ADF" w:rsidRPr="00A075C4" w14:paraId="2E2EA0F5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E52EF5" w14:textId="77777777" w:rsidR="00711ADF" w:rsidRPr="00DA27D3" w:rsidRDefault="00711ADF" w:rsidP="00244EDD">
            <w:pPr>
              <w:spacing w:line="259" w:lineRule="auto"/>
            </w:pPr>
            <w:r w:rsidRPr="00DA27D3">
              <w:t xml:space="preserve">Consumer Per User Fee 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474D5C" w14:textId="77777777" w:rsidR="00711ADF" w:rsidRPr="00DA27D3" w:rsidRDefault="00711ADF" w:rsidP="00244EDD">
            <w:pPr>
              <w:spacing w:line="259" w:lineRule="auto"/>
              <w:ind w:right="62"/>
              <w:jc w:val="center"/>
            </w:pPr>
            <w:r w:rsidRPr="00DA27D3">
              <w:t xml:space="preserve"> Waived  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6FB2E4" w14:textId="77777777" w:rsidR="00711ADF" w:rsidRPr="00DA27D3" w:rsidRDefault="00711ADF" w:rsidP="00244EDD">
            <w:pPr>
              <w:spacing w:line="259" w:lineRule="auto"/>
            </w:pPr>
            <w:r w:rsidRPr="00DA27D3">
              <w:t xml:space="preserve">Monthly Active/Inactive users </w:t>
            </w:r>
          </w:p>
        </w:tc>
      </w:tr>
      <w:tr w:rsidR="00711ADF" w14:paraId="129DC0C8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DE19F76" w14:textId="77777777" w:rsidR="00711ADF" w:rsidRPr="000A6C04" w:rsidRDefault="00711ADF" w:rsidP="00244EDD">
            <w:pPr>
              <w:spacing w:line="259" w:lineRule="auto"/>
            </w:pPr>
            <w:r w:rsidRPr="000A6C04">
              <w:t xml:space="preserve">Per Bill Payment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3AF3E24" w14:textId="77777777" w:rsidR="00711ADF" w:rsidRPr="000A6C04" w:rsidRDefault="00711ADF" w:rsidP="00244EDD">
            <w:pPr>
              <w:spacing w:line="259" w:lineRule="auto"/>
              <w:ind w:right="65"/>
              <w:jc w:val="center"/>
            </w:pPr>
            <w:r w:rsidRPr="000A6C04">
              <w:t>$0.</w:t>
            </w:r>
            <w:r>
              <w:t>623</w:t>
            </w:r>
            <w:r w:rsidRPr="000A6C04">
              <w:t xml:space="preserve"> 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4EFE7D5" w14:textId="77777777" w:rsidR="00711ADF" w:rsidRPr="00AD7C59" w:rsidRDefault="00711ADF" w:rsidP="00244EDD">
            <w:pPr>
              <w:spacing w:line="259" w:lineRule="auto"/>
              <w:rPr>
                <w:i/>
              </w:rPr>
            </w:pPr>
            <w:r w:rsidRPr="00AD7C59">
              <w:rPr>
                <w:szCs w:val="24"/>
              </w:rPr>
              <w:t xml:space="preserve">Per </w:t>
            </w:r>
            <w:r>
              <w:rPr>
                <w:szCs w:val="24"/>
              </w:rPr>
              <w:t>t</w:t>
            </w:r>
            <w:r w:rsidRPr="00AD7C59">
              <w:rPr>
                <w:szCs w:val="24"/>
              </w:rPr>
              <w:t>ransaction</w:t>
            </w:r>
          </w:p>
        </w:tc>
      </w:tr>
      <w:tr w:rsidR="00711ADF" w14:paraId="6518FB2B" w14:textId="77777777" w:rsidTr="00244EDD">
        <w:trPr>
          <w:trHeight w:val="288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8F9696F" w14:textId="77777777" w:rsidR="00711ADF" w:rsidRDefault="00711ADF" w:rsidP="00244EDD">
            <w:pPr>
              <w:spacing w:line="259" w:lineRule="auto"/>
            </w:pPr>
            <w:r>
              <w:t xml:space="preserve">Per e-Bill Presentment </w:t>
            </w:r>
          </w:p>
          <w:p w14:paraId="234EAAAE" w14:textId="77777777" w:rsidR="00711ADF" w:rsidRPr="000A6C04" w:rsidRDefault="00711ADF" w:rsidP="00244EDD">
            <w:pPr>
              <w:spacing w:line="259" w:lineRule="auto"/>
            </w:pP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BF6A982" w14:textId="77777777" w:rsidR="00711ADF" w:rsidRPr="000A6C04" w:rsidRDefault="00711ADF" w:rsidP="00244EDD">
            <w:pPr>
              <w:spacing w:line="259" w:lineRule="auto"/>
              <w:ind w:right="62"/>
              <w:jc w:val="center"/>
            </w:pPr>
            <w:r>
              <w:t xml:space="preserve">$0.258 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D1A0F7" w14:textId="77777777" w:rsidR="00711ADF" w:rsidRPr="000A6C04" w:rsidRDefault="00711ADF" w:rsidP="00244EDD">
            <w:pPr>
              <w:spacing w:line="259" w:lineRule="auto"/>
            </w:pPr>
            <w:r w:rsidRPr="00AD7C59">
              <w:t xml:space="preserve">Per </w:t>
            </w:r>
            <w:r>
              <w:t>a</w:t>
            </w:r>
            <w:r w:rsidRPr="00AD7C59">
              <w:t xml:space="preserve">ctive </w:t>
            </w:r>
            <w:r>
              <w:t>e-</w:t>
            </w:r>
            <w:r w:rsidRPr="00AD7C59">
              <w:t xml:space="preserve">Bill </w:t>
            </w:r>
            <w:r>
              <w:t>p</w:t>
            </w:r>
            <w:r w:rsidRPr="00AD7C59">
              <w:t xml:space="preserve">er </w:t>
            </w:r>
            <w:r>
              <w:t>m</w:t>
            </w:r>
            <w:r w:rsidRPr="00AD7C59">
              <w:t>onth</w:t>
            </w:r>
          </w:p>
        </w:tc>
      </w:tr>
      <w:tr w:rsidR="00711ADF" w14:paraId="0B8C6690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A689FDA" w14:textId="77777777" w:rsidR="00711ADF" w:rsidRPr="00FA65C5" w:rsidRDefault="00711ADF" w:rsidP="00244EDD">
            <w:pPr>
              <w:spacing w:line="259" w:lineRule="auto"/>
              <w:rPr>
                <w:highlight w:val="green"/>
              </w:rPr>
            </w:pPr>
            <w:r>
              <w:t xml:space="preserve">P2P Transfers 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AC93201" w14:textId="77777777" w:rsidR="00711ADF" w:rsidRDefault="00711ADF" w:rsidP="00244EDD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  <w:r w:rsidRPr="00A011CB">
              <w:rPr>
                <w:szCs w:val="24"/>
              </w:rPr>
              <w:t>Setup Fee = $128.75</w:t>
            </w:r>
            <w:r>
              <w:rPr>
                <w:szCs w:val="24"/>
              </w:rPr>
              <w:t xml:space="preserve"> </w:t>
            </w:r>
            <w:r>
              <w:rPr>
                <w:sz w:val="20"/>
                <w:szCs w:val="20"/>
              </w:rPr>
              <w:t>(setup fee only applies to P2P only clients)</w:t>
            </w:r>
          </w:p>
          <w:p w14:paraId="439038F7" w14:textId="77777777" w:rsidR="00711ADF" w:rsidRPr="003C58BC" w:rsidRDefault="00711ADF" w:rsidP="00244EDD">
            <w:pPr>
              <w:spacing w:line="259" w:lineRule="auto"/>
              <w:ind w:right="65"/>
              <w:jc w:val="center"/>
              <w:rPr>
                <w:sz w:val="20"/>
                <w:szCs w:val="20"/>
              </w:rPr>
            </w:pPr>
          </w:p>
          <w:p w14:paraId="0EE62517" w14:textId="77777777" w:rsidR="00711ADF" w:rsidRPr="00402726" w:rsidRDefault="00711ADF" w:rsidP="00244EDD">
            <w:pPr>
              <w:spacing w:line="259" w:lineRule="auto"/>
              <w:ind w:right="65"/>
              <w:jc w:val="center"/>
            </w:pPr>
            <w:r w:rsidRPr="00402726">
              <w:t>$0.</w:t>
            </w:r>
            <w:r>
              <w:t>623</w:t>
            </w:r>
            <w:r w:rsidRPr="00402726">
              <w:t xml:space="preserve"> </w:t>
            </w:r>
            <w:r>
              <w:t xml:space="preserve">per transaction </w:t>
            </w:r>
            <w:r w:rsidRPr="005C6CAF">
              <w:rPr>
                <w:i/>
                <w:iCs/>
                <w:sz w:val="20"/>
                <w:szCs w:val="20"/>
              </w:rPr>
              <w:t>($1</w:t>
            </w:r>
            <w:r>
              <w:rPr>
                <w:i/>
                <w:iCs/>
                <w:sz w:val="20"/>
                <w:szCs w:val="20"/>
              </w:rPr>
              <w:t>03.00</w:t>
            </w:r>
            <w:r w:rsidRPr="005C6CAF">
              <w:rPr>
                <w:i/>
                <w:iCs/>
                <w:sz w:val="20"/>
                <w:szCs w:val="20"/>
              </w:rPr>
              <w:t xml:space="preserve"> monthly minimum for P2P-only clients)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29902A" w14:textId="77777777" w:rsidR="00711ADF" w:rsidRPr="00402726" w:rsidRDefault="00711ADF" w:rsidP="00244EDD">
            <w:pPr>
              <w:spacing w:line="259" w:lineRule="auto"/>
            </w:pPr>
            <w:r w:rsidRPr="00402726">
              <w:t xml:space="preserve">Per </w:t>
            </w:r>
            <w:r>
              <w:t xml:space="preserve">person-to-person (P2P) transfer. </w:t>
            </w:r>
            <w:r w:rsidRPr="00402726">
              <w:t xml:space="preserve"> </w:t>
            </w:r>
          </w:p>
        </w:tc>
      </w:tr>
      <w:tr w:rsidR="00711ADF" w14:paraId="12D9C187" w14:textId="77777777" w:rsidTr="00244EDD">
        <w:trPr>
          <w:trHeight w:val="343"/>
        </w:trPr>
        <w:tc>
          <w:tcPr>
            <w:tcW w:w="132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476AD8" w14:textId="77777777" w:rsidR="00711ADF" w:rsidRDefault="00711ADF" w:rsidP="00244EDD">
            <w:pPr>
              <w:jc w:val="left"/>
            </w:pPr>
            <w:proofErr w:type="spellStart"/>
            <w:r>
              <w:t>PayWatch</w:t>
            </w:r>
            <w:proofErr w:type="spellEnd"/>
            <w:r>
              <w:t xml:space="preserve"> (fraud detection)</w:t>
            </w:r>
          </w:p>
        </w:tc>
        <w:tc>
          <w:tcPr>
            <w:tcW w:w="145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2DAB3B6" w14:textId="77777777" w:rsidR="00711ADF" w:rsidRPr="00402726" w:rsidRDefault="00711ADF" w:rsidP="00244EDD">
            <w:pPr>
              <w:ind w:right="65"/>
              <w:jc w:val="center"/>
            </w:pPr>
            <w:r>
              <w:t>No Charge</w:t>
            </w:r>
          </w:p>
        </w:tc>
        <w:tc>
          <w:tcPr>
            <w:tcW w:w="222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2D45C0" w14:textId="77777777" w:rsidR="00711ADF" w:rsidRPr="00402726" w:rsidRDefault="00711ADF" w:rsidP="00244EDD">
            <w:r>
              <w:t>Per transaction (</w:t>
            </w:r>
            <w:r w:rsidRPr="00337FE5">
              <w:rPr>
                <w:i/>
              </w:rPr>
              <w:t xml:space="preserve">Applies to all monitored </w:t>
            </w:r>
            <w:proofErr w:type="gramStart"/>
            <w:r w:rsidRPr="00337FE5">
              <w:rPr>
                <w:i/>
              </w:rPr>
              <w:t>bill</w:t>
            </w:r>
            <w:proofErr w:type="gramEnd"/>
            <w:r w:rsidRPr="00337FE5">
              <w:rPr>
                <w:i/>
              </w:rPr>
              <w:t xml:space="preserve"> pay transactions)</w:t>
            </w:r>
          </w:p>
        </w:tc>
      </w:tr>
    </w:tbl>
    <w:p w14:paraId="46E20560" w14:textId="77777777" w:rsidR="00711ADF" w:rsidRPr="003C58BC" w:rsidRDefault="00711ADF" w:rsidP="00711ADF">
      <w:pPr>
        <w:spacing w:after="0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* </w:t>
      </w:r>
      <w:r>
        <w:rPr>
          <w:bCs/>
          <w:i/>
          <w:iCs/>
          <w:sz w:val="20"/>
          <w:szCs w:val="20"/>
        </w:rPr>
        <w:t xml:space="preserve">See then-current Pricing Guide for current </w:t>
      </w:r>
      <w:proofErr w:type="gramStart"/>
      <w:r>
        <w:rPr>
          <w:bCs/>
          <w:i/>
          <w:iCs/>
          <w:sz w:val="20"/>
          <w:szCs w:val="20"/>
        </w:rPr>
        <w:t>rates</w:t>
      </w:r>
      <w:bookmarkEnd w:id="2"/>
      <w:proofErr w:type="gramEnd"/>
    </w:p>
    <w:p w14:paraId="67F50997" w14:textId="77777777" w:rsidR="00711ADF" w:rsidRDefault="00711ADF" w:rsidP="00711ADF">
      <w:pPr>
        <w:rPr>
          <w:b/>
          <w:sz w:val="22"/>
        </w:rPr>
      </w:pPr>
    </w:p>
    <w:bookmarkEnd w:id="1"/>
    <w:p w14:paraId="3E7DDE44" w14:textId="77777777" w:rsidR="00711ADF" w:rsidRPr="00A52A66" w:rsidRDefault="00711ADF" w:rsidP="00711ADF">
      <w:pPr>
        <w:rPr>
          <w:b/>
          <w:sz w:val="22"/>
        </w:rPr>
      </w:pPr>
      <w:r w:rsidRPr="00A52A66">
        <w:rPr>
          <w:b/>
          <w:sz w:val="22"/>
        </w:rPr>
        <w:t xml:space="preserve">Additional </w:t>
      </w:r>
      <w:r>
        <w:rPr>
          <w:b/>
          <w:sz w:val="22"/>
        </w:rPr>
        <w:t xml:space="preserve">Optional Services </w:t>
      </w:r>
    </w:p>
    <w:tbl>
      <w:tblPr>
        <w:tblStyle w:val="TableGrid"/>
        <w:tblW w:w="5102" w:type="pct"/>
        <w:tblInd w:w="0" w:type="dxa"/>
        <w:tblCellMar>
          <w:top w:w="59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2779"/>
        <w:gridCol w:w="2522"/>
        <w:gridCol w:w="4230"/>
      </w:tblGrid>
      <w:tr w:rsidR="00711ADF" w:rsidRPr="00A52A66" w14:paraId="4CB88B83" w14:textId="77777777" w:rsidTr="00244EDD">
        <w:trPr>
          <w:trHeight w:val="533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C4AC91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Tier One Support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1D3D05" w14:textId="77777777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 xml:space="preserve">CU*Answers </w:t>
            </w:r>
            <w:r w:rsidRPr="00A52A66">
              <w:rPr>
                <w:i/>
                <w:sz w:val="22"/>
              </w:rPr>
              <w:t>(included)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5BADCE1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General questions – nonpayment related issues; directed to CU*Answers  </w:t>
            </w:r>
          </w:p>
        </w:tc>
      </w:tr>
      <w:tr w:rsidR="00711ADF" w:rsidRPr="00A52A66" w14:paraId="2AD5DB50" w14:textId="77777777" w:rsidTr="00244EDD">
        <w:trPr>
          <w:trHeight w:val="524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CD1062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Tier Two Support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BFA59BD" w14:textId="77777777" w:rsidR="00711ADF" w:rsidRPr="00A52A66" w:rsidRDefault="00711ADF" w:rsidP="00244EDD">
            <w:pPr>
              <w:spacing w:line="259" w:lineRule="auto"/>
              <w:ind w:right="62"/>
              <w:jc w:val="center"/>
              <w:rPr>
                <w:sz w:val="22"/>
              </w:rPr>
            </w:pPr>
            <w:r w:rsidRPr="00A52A66">
              <w:rPr>
                <w:sz w:val="22"/>
              </w:rPr>
              <w:t xml:space="preserve"> Payveris </w:t>
            </w:r>
            <w:r w:rsidRPr="00A52A66">
              <w:rPr>
                <w:i/>
                <w:sz w:val="22"/>
              </w:rPr>
              <w:t>(included)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E519534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Technical support and general questions; directed from CU*Answers to Payveris </w:t>
            </w:r>
          </w:p>
        </w:tc>
      </w:tr>
      <w:tr w:rsidR="00711ADF" w:rsidRPr="00A52A66" w14:paraId="2D3B43A3" w14:textId="77777777" w:rsidTr="00244EDD">
        <w:trPr>
          <w:trHeight w:val="343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94B435B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PASS Monthly User fee 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63FC36" w14:textId="77777777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$10.</w:t>
            </w:r>
            <w:r>
              <w:rPr>
                <w:sz w:val="22"/>
              </w:rPr>
              <w:t>30</w:t>
            </w:r>
            <w:r w:rsidRPr="00A52A66">
              <w:rPr>
                <w:sz w:val="22"/>
              </w:rPr>
              <w:t xml:space="preserve"> (</w:t>
            </w:r>
            <w:r w:rsidRPr="00A52A66">
              <w:rPr>
                <w:i/>
                <w:sz w:val="22"/>
              </w:rPr>
              <w:t>optional)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1CF6AA7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Seat </w:t>
            </w:r>
            <w:r w:rsidRPr="00A52A66">
              <w:rPr>
                <w:i/>
                <w:sz w:val="22"/>
              </w:rPr>
              <w:t>(up to 10 seats provided gratis – based upon CU size specifications)</w:t>
            </w:r>
          </w:p>
        </w:tc>
      </w:tr>
      <w:tr w:rsidR="00711ADF" w:rsidRPr="00A52A66" w14:paraId="08D76CCF" w14:textId="77777777" w:rsidTr="00244EDD">
        <w:trPr>
          <w:trHeight w:val="50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9E9C2E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Electronic Returns/Rejects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0DA73FE" w14:textId="77777777" w:rsidR="00711ADF" w:rsidRPr="00A52A66" w:rsidRDefault="00711ADF" w:rsidP="00244EDD">
            <w:pPr>
              <w:spacing w:line="259" w:lineRule="auto"/>
              <w:ind w:right="65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$5.</w:t>
            </w:r>
            <w:r>
              <w:rPr>
                <w:sz w:val="22"/>
              </w:rPr>
              <w:t>15</w:t>
            </w:r>
            <w:r w:rsidRPr="00A52A66">
              <w:rPr>
                <w:sz w:val="22"/>
              </w:rPr>
              <w:t xml:space="preserve"> 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7A0A49A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>Per reject/return if not Payveris error</w:t>
            </w:r>
            <w:r w:rsidRPr="00A52A66">
              <w:rPr>
                <w:i/>
                <w:sz w:val="22"/>
              </w:rPr>
              <w:t xml:space="preserve"> (</w:t>
            </w:r>
            <w:proofErr w:type="gramStart"/>
            <w:r w:rsidRPr="00A52A66">
              <w:rPr>
                <w:i/>
                <w:sz w:val="22"/>
              </w:rPr>
              <w:t>e.g.</w:t>
            </w:r>
            <w:proofErr w:type="gramEnd"/>
            <w:r w:rsidRPr="00A52A66">
              <w:rPr>
                <w:i/>
                <w:sz w:val="22"/>
              </w:rPr>
              <w:t xml:space="preserve"> incorrect vendor acct. number)</w:t>
            </w:r>
            <w:r w:rsidRPr="00A52A66">
              <w:rPr>
                <w:sz w:val="22"/>
              </w:rPr>
              <w:t xml:space="preserve"> </w:t>
            </w:r>
          </w:p>
        </w:tc>
      </w:tr>
      <w:tr w:rsidR="00711ADF" w:rsidRPr="00A52A66" w14:paraId="4331937A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B75F1E7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Postal Return Handling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074F" w14:textId="77777777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$10.</w:t>
            </w:r>
            <w:r>
              <w:rPr>
                <w:sz w:val="22"/>
              </w:rPr>
              <w:t>30</w:t>
            </w:r>
            <w:r w:rsidRPr="00A52A66">
              <w:rPr>
                <w:sz w:val="22"/>
              </w:rPr>
              <w:t xml:space="preserve">  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FB13C1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piece if not Payveris error </w:t>
            </w:r>
            <w:r w:rsidRPr="00A52A66">
              <w:rPr>
                <w:i/>
                <w:sz w:val="22"/>
              </w:rPr>
              <w:t>(</w:t>
            </w:r>
            <w:proofErr w:type="gramStart"/>
            <w:r w:rsidRPr="00A52A66">
              <w:rPr>
                <w:i/>
                <w:sz w:val="22"/>
              </w:rPr>
              <w:t>e.g.</w:t>
            </w:r>
            <w:proofErr w:type="gramEnd"/>
            <w:r w:rsidRPr="00A52A66">
              <w:rPr>
                <w:i/>
                <w:sz w:val="22"/>
              </w:rPr>
              <w:t xml:space="preserve"> incorrect vendor mailing address)</w:t>
            </w:r>
            <w:r w:rsidRPr="00A52A66">
              <w:rPr>
                <w:sz w:val="22"/>
              </w:rPr>
              <w:t xml:space="preserve"> </w:t>
            </w:r>
          </w:p>
        </w:tc>
      </w:tr>
      <w:tr w:rsidR="00711ADF" w:rsidRPr="00A52A66" w14:paraId="235AA472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FF38A48" w14:textId="77777777" w:rsidR="00711ADF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Late File Transmission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D0CD9A1" w14:textId="77777777" w:rsidR="00711ADF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$103.00 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05B76E" w14:textId="77777777" w:rsidR="00711ADF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 xml:space="preserve">Per incident </w:t>
            </w:r>
            <w:r w:rsidRPr="0080554B">
              <w:rPr>
                <w:i/>
                <w:iCs/>
                <w:sz w:val="22"/>
              </w:rPr>
              <w:t>(In-House CU*BASE credit unions only)</w:t>
            </w:r>
          </w:p>
        </w:tc>
      </w:tr>
      <w:tr w:rsidR="00711ADF" w:rsidRPr="00A52A66" w14:paraId="6BA9369D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6366B4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Manual Return Processing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67F78E" w14:textId="77777777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$25.75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E90FF92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incident</w:t>
            </w:r>
          </w:p>
        </w:tc>
      </w:tr>
      <w:tr w:rsidR="00711ADF" w:rsidRPr="00A52A66" w14:paraId="3A5378D1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5A1162D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R06 Request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DCA0FB" w14:textId="77777777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$50.00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E186E7C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transaction</w:t>
            </w:r>
          </w:p>
        </w:tc>
      </w:tr>
      <w:tr w:rsidR="00711ADF" w:rsidRPr="00A52A66" w14:paraId="084D1975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F4EC7D0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Settlement NSFs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C5440E3" w14:textId="77777777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$51.50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4A4BDC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incident</w:t>
            </w:r>
          </w:p>
        </w:tc>
      </w:tr>
      <w:tr w:rsidR="00711ADF" w:rsidRPr="00A52A66" w14:paraId="2BBF09B4" w14:textId="77777777" w:rsidTr="00244EDD">
        <w:trPr>
          <w:trHeight w:val="346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D64B83" w14:textId="77777777" w:rsidR="00711ADF" w:rsidRPr="00A52A66" w:rsidRDefault="00711ADF" w:rsidP="00244EDD">
            <w:pPr>
              <w:jc w:val="left"/>
              <w:rPr>
                <w:sz w:val="22"/>
              </w:rPr>
            </w:pPr>
            <w:r>
              <w:rPr>
                <w:sz w:val="22"/>
              </w:rPr>
              <w:t>Professional Services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81BA84D" w14:textId="77777777" w:rsidR="00711ADF" w:rsidRPr="00A52A66" w:rsidRDefault="00711ADF" w:rsidP="00244EDD">
            <w:pPr>
              <w:ind w:right="63"/>
              <w:jc w:val="center"/>
              <w:rPr>
                <w:sz w:val="22"/>
              </w:rPr>
            </w:pPr>
            <w:r>
              <w:rPr>
                <w:sz w:val="22"/>
              </w:rPr>
              <w:t>$257.50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8143EEE" w14:textId="77777777" w:rsidR="00711ADF" w:rsidRPr="00A52A66" w:rsidRDefault="00711ADF" w:rsidP="00244EDD">
            <w:pPr>
              <w:rPr>
                <w:sz w:val="22"/>
              </w:rPr>
            </w:pPr>
            <w:r>
              <w:rPr>
                <w:sz w:val="22"/>
              </w:rPr>
              <w:t>Per hour; 1 hour minimum</w:t>
            </w:r>
          </w:p>
        </w:tc>
      </w:tr>
      <w:tr w:rsidR="00711ADF" w:rsidRPr="00A52A66" w14:paraId="2789F79C" w14:textId="77777777" w:rsidTr="00244EDD">
        <w:trPr>
          <w:trHeight w:val="749"/>
        </w:trPr>
        <w:tc>
          <w:tcPr>
            <w:tcW w:w="1458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AE3FEAE" w14:textId="77777777" w:rsidR="00711ADF" w:rsidRPr="00A52A66" w:rsidRDefault="00711ADF" w:rsidP="00244EDD">
            <w:pPr>
              <w:spacing w:line="259" w:lineRule="auto"/>
              <w:jc w:val="left"/>
              <w:rPr>
                <w:sz w:val="22"/>
              </w:rPr>
            </w:pPr>
            <w:r w:rsidRPr="00A52A66">
              <w:rPr>
                <w:sz w:val="22"/>
              </w:rPr>
              <w:t xml:space="preserve">Research Request  </w:t>
            </w:r>
          </w:p>
        </w:tc>
        <w:tc>
          <w:tcPr>
            <w:tcW w:w="1323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7AE2D34" w14:textId="77777777" w:rsidR="00711ADF" w:rsidRPr="00A52A66" w:rsidRDefault="00711ADF" w:rsidP="00244EDD">
            <w:pPr>
              <w:spacing w:line="259" w:lineRule="auto"/>
              <w:ind w:right="63"/>
              <w:jc w:val="center"/>
              <w:rPr>
                <w:sz w:val="22"/>
              </w:rPr>
            </w:pPr>
            <w:r w:rsidRPr="00A52A66">
              <w:rPr>
                <w:sz w:val="22"/>
              </w:rPr>
              <w:t>$25</w:t>
            </w:r>
            <w:r>
              <w:rPr>
                <w:sz w:val="22"/>
              </w:rPr>
              <w:t>.75</w:t>
            </w:r>
            <w:r w:rsidRPr="00A52A66">
              <w:rPr>
                <w:sz w:val="22"/>
              </w:rPr>
              <w:t xml:space="preserve">  </w:t>
            </w:r>
          </w:p>
        </w:tc>
        <w:tc>
          <w:tcPr>
            <w:tcW w:w="2219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009157B" w14:textId="77777777" w:rsidR="00711ADF" w:rsidRPr="00A52A66" w:rsidRDefault="00711ADF" w:rsidP="00244EDD">
            <w:pPr>
              <w:spacing w:line="259" w:lineRule="auto"/>
              <w:rPr>
                <w:sz w:val="22"/>
              </w:rPr>
            </w:pPr>
            <w:r w:rsidRPr="00A52A66">
              <w:rPr>
                <w:sz w:val="22"/>
              </w:rPr>
              <w:t xml:space="preserve">Per claim request worked by Payveris.  Payveris to handle all payment issues until resolved. </w:t>
            </w:r>
          </w:p>
        </w:tc>
      </w:tr>
    </w:tbl>
    <w:p w14:paraId="72ECF31C" w14:textId="77777777" w:rsidR="00711ADF" w:rsidRPr="00A52A66" w:rsidRDefault="00711ADF" w:rsidP="00711ADF">
      <w:pPr>
        <w:pStyle w:val="Heading2"/>
        <w:tabs>
          <w:tab w:val="center" w:pos="4961"/>
        </w:tabs>
        <w:rPr>
          <w:sz w:val="22"/>
          <w:szCs w:val="22"/>
        </w:rPr>
      </w:pPr>
    </w:p>
    <w:p w14:paraId="07377867" w14:textId="77777777" w:rsidR="00711ADF" w:rsidRPr="00A52A66" w:rsidRDefault="00711ADF" w:rsidP="00711ADF">
      <w:pPr>
        <w:rPr>
          <w:b/>
          <w:sz w:val="22"/>
          <w:u w:val="single"/>
        </w:rPr>
      </w:pPr>
      <w:r w:rsidRPr="00A52A66">
        <w:rPr>
          <w:b/>
          <w:sz w:val="22"/>
          <w:u w:val="single"/>
        </w:rPr>
        <w:t xml:space="preserve">Notes: </w:t>
      </w:r>
    </w:p>
    <w:p w14:paraId="7612CB60" w14:textId="77777777" w:rsidR="00711ADF" w:rsidRPr="00A52A66" w:rsidRDefault="00711ADF" w:rsidP="00711ADF">
      <w:pPr>
        <w:jc w:val="left"/>
        <w:rPr>
          <w:b/>
          <w:sz w:val="22"/>
          <w:u w:val="single"/>
        </w:rPr>
      </w:pPr>
      <w:r w:rsidRPr="00A52A66">
        <w:rPr>
          <w:sz w:val="22"/>
        </w:rPr>
        <w:t>Pricing does not include any 3</w:t>
      </w:r>
      <w:r w:rsidRPr="00A52A66">
        <w:rPr>
          <w:sz w:val="22"/>
          <w:vertAlign w:val="superscript"/>
        </w:rPr>
        <w:t>rd</w:t>
      </w:r>
      <w:r w:rsidRPr="00A52A66">
        <w:rPr>
          <w:sz w:val="22"/>
        </w:rPr>
        <w:t xml:space="preserve"> party fees (</w:t>
      </w:r>
      <w:proofErr w:type="gramStart"/>
      <w:r w:rsidRPr="00A52A66">
        <w:rPr>
          <w:sz w:val="22"/>
        </w:rPr>
        <w:t>i.e.</w:t>
      </w:r>
      <w:proofErr w:type="gramEnd"/>
      <w:r w:rsidRPr="00A52A66">
        <w:rPr>
          <w:sz w:val="22"/>
        </w:rPr>
        <w:t xml:space="preserve"> deconversion), or misc. fees which may be required.  </w:t>
      </w:r>
    </w:p>
    <w:p w14:paraId="4A111869" w14:textId="77777777" w:rsidR="00711ADF" w:rsidRPr="00A52A66" w:rsidRDefault="00711ADF" w:rsidP="00711ADF">
      <w:pPr>
        <w:jc w:val="left"/>
        <w:rPr>
          <w:b/>
          <w:sz w:val="22"/>
          <w:u w:val="single"/>
        </w:rPr>
      </w:pPr>
      <w:r w:rsidRPr="00A52A66">
        <w:rPr>
          <w:sz w:val="22"/>
        </w:rPr>
        <w:t>Prices subject to periodic change.  See a</w:t>
      </w:r>
      <w:r>
        <w:rPr>
          <w:sz w:val="22"/>
        </w:rPr>
        <w:t xml:space="preserve">pplicable CU*Answers </w:t>
      </w:r>
      <w:r w:rsidRPr="00A52A66">
        <w:rPr>
          <w:sz w:val="22"/>
        </w:rPr>
        <w:t xml:space="preserve">Pricing Guide </w:t>
      </w:r>
      <w:r>
        <w:rPr>
          <w:sz w:val="22"/>
        </w:rPr>
        <w:t xml:space="preserve">or </w:t>
      </w:r>
      <w:r w:rsidRPr="00EC28D6">
        <w:rPr>
          <w:color w:val="0070C0"/>
          <w:sz w:val="22"/>
          <w:u w:val="single"/>
        </w:rPr>
        <w:t>store.cuanswers.com</w:t>
      </w:r>
      <w:r>
        <w:rPr>
          <w:sz w:val="22"/>
        </w:rPr>
        <w:t xml:space="preserve"> </w:t>
      </w:r>
      <w:r w:rsidRPr="00A52A66">
        <w:rPr>
          <w:sz w:val="22"/>
        </w:rPr>
        <w:t>for current pricing.</w:t>
      </w:r>
    </w:p>
    <w:p w14:paraId="0CE25BC6" w14:textId="77777777" w:rsidR="00711ADF" w:rsidRDefault="00711ADF" w:rsidP="00711ADF"/>
    <w:p w14:paraId="62E7766C" w14:textId="77777777" w:rsidR="00711ADF" w:rsidRDefault="00711ADF" w:rsidP="00711ADF"/>
    <w:p w14:paraId="64B6EF9D" w14:textId="77777777" w:rsidR="00711ADF" w:rsidRDefault="00711ADF" w:rsidP="00711ADF">
      <w:pPr>
        <w:rPr>
          <w:rFonts w:ascii="Times New Roman" w:hAnsi="Times New Roman" w:cs="Times New Roman"/>
          <w:b/>
          <w:szCs w:val="24"/>
        </w:rPr>
      </w:pPr>
    </w:p>
    <w:p w14:paraId="591346D4" w14:textId="77777777" w:rsidR="00711ADF" w:rsidRPr="00071A29" w:rsidRDefault="00711ADF" w:rsidP="00711ADF">
      <w:pPr>
        <w:rPr>
          <w:rFonts w:ascii="Times New Roman" w:hAnsi="Times New Roman" w:cs="Times New Roman"/>
          <w:b/>
          <w:szCs w:val="24"/>
        </w:rPr>
      </w:pPr>
    </w:p>
    <w:p w14:paraId="459421D1" w14:textId="77777777" w:rsidR="008A6379" w:rsidRDefault="008A6379"/>
    <w:sectPr w:rsidR="008A6379" w:rsidSect="00202B1F">
      <w:headerReference w:type="default" r:id="rId4"/>
      <w:footerReference w:type="default" r:id="rId5"/>
      <w:headerReference w:type="first" r:id="rId6"/>
      <w:footerReference w:type="first" r:id="rId7"/>
      <w:pgSz w:w="12240" w:h="15840" w:code="1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1F8247" w14:textId="77777777" w:rsidR="004462EC" w:rsidRDefault="00711ADF">
    <w:pPr>
      <w:pStyle w:val="Footer"/>
      <w:jc w:val="right"/>
    </w:pPr>
    <w:r>
      <w:rPr>
        <w:sz w:val="16"/>
        <w:szCs w:val="16"/>
      </w:rPr>
      <w:t>Online Bill Pay Agreement – Payveris System</w:t>
    </w:r>
    <w:r w:rsidRPr="00F67917">
      <w:rPr>
        <w:sz w:val="16"/>
        <w:szCs w:val="16"/>
      </w:rPr>
      <w:t xml:space="preserve"> | </w:t>
    </w:r>
    <w:sdt>
      <w:sdtPr>
        <w:rPr>
          <w:sz w:val="16"/>
          <w:szCs w:val="16"/>
        </w:rPr>
        <w:id w:val="-815178394"/>
        <w:docPartObj>
          <w:docPartGallery w:val="Page Numbers (Bottom of Page)"/>
          <w:docPartUnique/>
        </w:docPartObj>
      </w:sdtPr>
      <w:sdtEndPr/>
      <w:sdtContent>
        <w:sdt>
          <w:sdtPr>
            <w:rPr>
              <w:sz w:val="16"/>
              <w:szCs w:val="16"/>
            </w:rPr>
            <w:id w:val="-1769616900"/>
            <w:docPartObj>
              <w:docPartGallery w:val="Page Numbers (Top of Page)"/>
              <w:docPartUnique/>
            </w:docPartObj>
          </w:sdtPr>
          <w:sdtEndPr/>
          <w:sdtContent>
            <w:r w:rsidRPr="00F67917">
              <w:rPr>
                <w:sz w:val="16"/>
                <w:szCs w:val="16"/>
              </w:rPr>
              <w:t xml:space="preserve">Page </w:t>
            </w:r>
            <w:r w:rsidRPr="00F67917">
              <w:rPr>
                <w:b/>
                <w:bCs/>
                <w:sz w:val="16"/>
                <w:szCs w:val="16"/>
              </w:rPr>
              <w:fldChar w:fldCharType="begin"/>
            </w:r>
            <w:r w:rsidRPr="00F67917">
              <w:rPr>
                <w:b/>
                <w:bCs/>
                <w:sz w:val="16"/>
                <w:szCs w:val="16"/>
              </w:rPr>
              <w:instrText xml:space="preserve"> PAGE </w:instrText>
            </w:r>
            <w:r w:rsidRPr="00F6791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3</w:t>
            </w:r>
            <w:r w:rsidRPr="00F67917">
              <w:rPr>
                <w:b/>
                <w:bCs/>
                <w:sz w:val="16"/>
                <w:szCs w:val="16"/>
              </w:rPr>
              <w:fldChar w:fldCharType="end"/>
            </w:r>
            <w:r w:rsidRPr="00F67917">
              <w:rPr>
                <w:sz w:val="16"/>
                <w:szCs w:val="16"/>
              </w:rPr>
              <w:t xml:space="preserve"> of </w:t>
            </w:r>
            <w:r w:rsidRPr="00F67917">
              <w:rPr>
                <w:b/>
                <w:bCs/>
                <w:sz w:val="16"/>
                <w:szCs w:val="16"/>
              </w:rPr>
              <w:fldChar w:fldCharType="begin"/>
            </w:r>
            <w:r w:rsidRPr="00F67917">
              <w:rPr>
                <w:b/>
                <w:bCs/>
                <w:sz w:val="16"/>
                <w:szCs w:val="16"/>
              </w:rPr>
              <w:instrText xml:space="preserve"> NUMPAGES  </w:instrText>
            </w:r>
            <w:r w:rsidRPr="00F67917">
              <w:rPr>
                <w:b/>
                <w:bCs/>
                <w:sz w:val="16"/>
                <w:szCs w:val="16"/>
              </w:rPr>
              <w:fldChar w:fldCharType="separate"/>
            </w:r>
            <w:r>
              <w:rPr>
                <w:b/>
                <w:bCs/>
                <w:noProof/>
                <w:sz w:val="16"/>
                <w:szCs w:val="16"/>
              </w:rPr>
              <w:t>9</w:t>
            </w:r>
            <w:r w:rsidRPr="00F67917">
              <w:rPr>
                <w:b/>
                <w:bCs/>
                <w:sz w:val="16"/>
                <w:szCs w:val="16"/>
              </w:rPr>
              <w:fldChar w:fldCharType="end"/>
            </w:r>
          </w:sdtContent>
        </w:sdt>
      </w:sdtContent>
    </w:sdt>
  </w:p>
  <w:p w14:paraId="0BD5A0EF" w14:textId="77777777" w:rsidR="004462EC" w:rsidRDefault="00711A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16AD66" w14:textId="77777777" w:rsidR="004462EC" w:rsidRPr="00176AC3" w:rsidRDefault="00711ADF" w:rsidP="006369C4">
    <w:pPr>
      <w:pStyle w:val="Footer"/>
      <w:jc w:val="center"/>
      <w:rPr>
        <w:b/>
        <w:color w:val="C00000"/>
        <w:sz w:val="48"/>
        <w:szCs w:val="48"/>
      </w:rPr>
    </w:pPr>
    <w:r w:rsidRPr="00176AC3">
      <w:rPr>
        <w:b/>
        <w:color w:val="C00000"/>
        <w:sz w:val="48"/>
        <w:szCs w:val="48"/>
      </w:rPr>
      <w:t>CONFIDENTIAL</w:t>
    </w:r>
  </w:p>
  <w:p w14:paraId="7907039C" w14:textId="77777777" w:rsidR="004462EC" w:rsidRDefault="00711ADF">
    <w:pPr>
      <w:pStyle w:val="Footer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912954" w14:textId="77777777" w:rsidR="004462EC" w:rsidRPr="00202B1F" w:rsidRDefault="00711ADF" w:rsidP="00202B1F">
    <w:pPr>
      <w:pStyle w:val="Header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2D7880" w14:textId="77777777" w:rsidR="004462EC" w:rsidRDefault="00711ADF" w:rsidP="00202B1F">
    <w:pPr>
      <w:pStyle w:val="Header"/>
      <w:jc w:val="center"/>
    </w:pPr>
    <w:r>
      <w:rPr>
        <w:noProof/>
      </w:rPr>
      <w:drawing>
        <wp:inline distT="0" distB="0" distL="0" distR="0" wp14:anchorId="4B77FF7D" wp14:editId="559133D4">
          <wp:extent cx="2857500" cy="523875"/>
          <wp:effectExtent l="0" t="0" r="0" b="9525"/>
          <wp:docPr id="2" name="Picture 2" descr="C:\Users\psickels\AppData\Local\Microsoft\Windows\INetCache\Content.Word\cuanswerscom_logo (002)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psickels\AppData\Local\Microsoft\Windows\INetCache\Content.Word\cuanswerscom_logo (002)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57500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1ADF"/>
    <w:rsid w:val="00711ADF"/>
    <w:rsid w:val="008A6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761F87"/>
  <w15:chartTrackingRefBased/>
  <w15:docId w15:val="{CC27D0EA-D91C-42B0-9E55-DDCF44B05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11ADF"/>
    <w:pPr>
      <w:jc w:val="both"/>
    </w:pPr>
    <w:rPr>
      <w:rFonts w:ascii="Cambria" w:hAnsi="Cambria"/>
      <w:sz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11ADF"/>
    <w:pPr>
      <w:keepNext/>
      <w:keepLines/>
      <w:spacing w:before="40" w:after="0"/>
      <w:outlineLvl w:val="1"/>
    </w:pPr>
    <w:rPr>
      <w:rFonts w:eastAsiaTheme="majorEastAsia" w:cstheme="majorBidi"/>
      <w:b/>
      <w:caps/>
      <w:sz w:val="3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711ADF"/>
    <w:rPr>
      <w:rFonts w:ascii="Cambria" w:eastAsiaTheme="majorEastAsia" w:hAnsi="Cambria" w:cstheme="majorBidi"/>
      <w:b/>
      <w:caps/>
      <w:sz w:val="36"/>
      <w:szCs w:val="26"/>
    </w:rPr>
  </w:style>
  <w:style w:type="paragraph" w:styleId="Header">
    <w:name w:val="header"/>
    <w:basedOn w:val="Normal"/>
    <w:link w:val="HeaderChar"/>
    <w:uiPriority w:val="99"/>
    <w:unhideWhenUsed/>
    <w:rsid w:val="0071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1ADF"/>
    <w:rPr>
      <w:rFonts w:ascii="Cambria" w:hAnsi="Cambria"/>
      <w:sz w:val="24"/>
    </w:rPr>
  </w:style>
  <w:style w:type="paragraph" w:styleId="Footer">
    <w:name w:val="footer"/>
    <w:basedOn w:val="Normal"/>
    <w:link w:val="FooterChar"/>
    <w:uiPriority w:val="99"/>
    <w:unhideWhenUsed/>
    <w:rsid w:val="00711A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1ADF"/>
    <w:rPr>
      <w:rFonts w:ascii="Cambria" w:hAnsi="Cambria"/>
      <w:sz w:val="24"/>
    </w:rPr>
  </w:style>
  <w:style w:type="table" w:customStyle="1" w:styleId="TableGrid">
    <w:name w:val="TableGrid"/>
    <w:rsid w:val="00711ADF"/>
    <w:pPr>
      <w:spacing w:after="0" w:line="240" w:lineRule="auto"/>
    </w:pPr>
    <w:rPr>
      <w:rFonts w:eastAsiaTheme="minorEastAsia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footer" Target="footer1.xml"/><Relationship Id="rId4" Type="http://schemas.openxmlformats.org/officeDocument/2006/relationships/header" Target="header1.xml"/><Relationship Id="rId9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403</Words>
  <Characters>2301</Characters>
  <Application>Microsoft Office Word</Application>
  <DocSecurity>0</DocSecurity>
  <Lines>19</Lines>
  <Paragraphs>5</Paragraphs>
  <ScaleCrop>false</ScaleCrop>
  <Company/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Heather French</dc:creator>
  <cp:keywords/>
  <dc:description/>
  <cp:lastModifiedBy>Heather French</cp:lastModifiedBy>
  <cp:revision>1</cp:revision>
  <dcterms:created xsi:type="dcterms:W3CDTF">2021-06-23T11:04:00Z</dcterms:created>
  <dcterms:modified xsi:type="dcterms:W3CDTF">2021-06-23T11:06:00Z</dcterms:modified>
</cp:coreProperties>
</file>