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527D0" w:rsidRDefault="00376156" w:rsidP="00047659">
      <w:r>
        <w:rPr>
          <w:noProof/>
        </w:rPr>
        <mc:AlternateContent>
          <mc:Choice Requires="wps">
            <w:drawing>
              <wp:anchor distT="0" distB="0" distL="114300" distR="114300" simplePos="0" relativeHeight="251661312" behindDoc="0" locked="0" layoutInCell="1" allowOverlap="1" wp14:anchorId="2DC7A9AC" wp14:editId="5FC4EA93">
                <wp:simplePos x="0" y="0"/>
                <wp:positionH relativeFrom="column">
                  <wp:posOffset>1028700</wp:posOffset>
                </wp:positionH>
                <wp:positionV relativeFrom="paragraph">
                  <wp:posOffset>1270</wp:posOffset>
                </wp:positionV>
                <wp:extent cx="914400" cy="1028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14400" cy="10287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156" w:rsidRPr="008F5E57" w:rsidRDefault="00376156" w:rsidP="00376156">
                            <w:pPr>
                              <w:jc w:val="center"/>
                              <w:rPr>
                                <w:color w:val="0070C0"/>
                                <w:sz w:val="144"/>
                                <w:szCs w:val="144"/>
                              </w:rPr>
                            </w:pPr>
                            <w:r w:rsidRPr="008F5E57">
                              <w:rPr>
                                <w:color w:val="0070C0"/>
                                <w:sz w:val="144"/>
                                <w:szCs w:val="1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7A9AC" id="Rectangle 6" o:spid="_x0000_s1026" style="position:absolute;left:0;text-align:left;margin-left:81pt;margin-top:.1pt;width:1in;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" filled="f" strokecolor="#0070c0" strokeweight="1pt">
                <v:textbox>
                  <w:txbxContent>
                    <w:p w:rsidR="00376156" w:rsidRPr="008F5E57" w:rsidRDefault="00376156" w:rsidP="00376156">
                      <w:pPr>
                        <w:jc w:val="center"/>
                        <w:rPr>
                          <w:color w:val="0070C0"/>
                          <w:sz w:val="144"/>
                          <w:szCs w:val="144"/>
                        </w:rPr>
                      </w:pPr>
                      <w:r w:rsidRPr="008F5E57">
                        <w:rPr>
                          <w:color w:val="0070C0"/>
                          <w:sz w:val="144"/>
                          <w:szCs w:val="144"/>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D165B3A" wp14:editId="0DB6BCAE">
                <wp:simplePos x="0" y="0"/>
                <wp:positionH relativeFrom="column">
                  <wp:posOffset>0</wp:posOffset>
                </wp:positionH>
                <wp:positionV relativeFrom="paragraph">
                  <wp:posOffset>0</wp:posOffset>
                </wp:positionV>
                <wp:extent cx="914400" cy="1028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1028700"/>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5AAAD" id="Rectangle 5" o:spid="_x0000_s1026" style="position:absolute;margin-left:0;margin-top:0;width:1in;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" fillcolor="#0070c0" strokecolor="#0070c0" strokeweight="1pt"/>
            </w:pict>
          </mc:Fallback>
        </mc:AlternateContent>
      </w:r>
    </w:p>
    <w:p w:rsidR="001527D0" w:rsidRDefault="001527D0" w:rsidP="00047659"/>
    <w:p w:rsidR="001527D0" w:rsidRDefault="001527D0" w:rsidP="00047659"/>
    <w:p w:rsidR="00376156" w:rsidRDefault="00376156" w:rsidP="001527D0">
      <w:pPr>
        <w:pStyle w:val="Title"/>
      </w:pPr>
    </w:p>
    <w:p w:rsidR="001527D0" w:rsidRPr="009753E9" w:rsidRDefault="008E7B08" w:rsidP="00376156">
      <w:pPr>
        <w:pStyle w:val="Title"/>
        <w:ind w:left="0"/>
        <w:jc w:val="center"/>
        <w:rPr>
          <w:rFonts w:cs="Arial"/>
          <w:b/>
        </w:rPr>
      </w:pPr>
      <w:r w:rsidRPr="008E7B08">
        <w:rPr>
          <w:b/>
          <w:caps/>
        </w:rPr>
        <w:t>INFORMATION SECURITY</w:t>
      </w:r>
      <w:r w:rsidR="001527D0" w:rsidRPr="008E7B08">
        <w:br/>
      </w:r>
      <w:r w:rsidR="001527D0" w:rsidRPr="009753E9">
        <w:rPr>
          <w:rFonts w:cs="Arial"/>
          <w:caps/>
        </w:rPr>
        <w:t>P</w:t>
      </w:r>
      <w:r w:rsidR="00376156" w:rsidRPr="009753E9">
        <w:rPr>
          <w:rFonts w:cs="Arial"/>
          <w:caps/>
        </w:rPr>
        <w:t>olicy</w:t>
      </w:r>
      <w:r w:rsidRPr="009753E9">
        <w:rPr>
          <w:rFonts w:cs="Arial"/>
          <w:caps/>
        </w:rPr>
        <w:t xml:space="preserve"> and Program</w:t>
      </w:r>
    </w:p>
    <w:p w:rsidR="00376156" w:rsidRDefault="00376156" w:rsidP="00376156"/>
    <w:p w:rsidR="00376156" w:rsidRDefault="00376156" w:rsidP="00376156"/>
    <w:p w:rsidR="00376156" w:rsidRPr="00376156" w:rsidRDefault="00EF6AD1" w:rsidP="00376156">
      <w:pPr>
        <w:pStyle w:val="Subtitle"/>
        <w:jc w:val="center"/>
      </w:pPr>
      <w:r>
        <w:t xml:space="preserve">UNDER THE CONTRACTS WITH OUR CLIENTS, </w:t>
      </w:r>
      <w:r w:rsidR="00013DDE">
        <w:t>[CLIENT OR CUSO]</w:t>
      </w:r>
      <w:r>
        <w:t xml:space="preserve"> AGREES TO ADHERE TO THE LAWS PROTECTING CONSUMER INFORMATION, INCLUDING AN INFORMATION SECURITY PROGRAM.</w:t>
      </w:r>
    </w:p>
    <w:p w:rsidR="00376156" w:rsidRDefault="00376156" w:rsidP="00047659"/>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0070C0"/>
        <w:tblLook w:val="04A0" w:firstRow="1" w:lastRow="0" w:firstColumn="1" w:lastColumn="0" w:noHBand="0" w:noVBand="1"/>
      </w:tblPr>
      <w:tblGrid>
        <w:gridCol w:w="1435"/>
        <w:gridCol w:w="7915"/>
      </w:tblGrid>
      <w:tr w:rsidR="008F34B4" w:rsidRPr="006D44D9" w:rsidTr="00EF6AD1">
        <w:tc>
          <w:tcPr>
            <w:tcW w:w="1435" w:type="dxa"/>
            <w:vMerge w:val="restart"/>
            <w:shd w:val="clear" w:color="auto" w:fill="0070C0"/>
          </w:tcPr>
          <w:p w:rsidR="004E3CBA" w:rsidRPr="006D44D9" w:rsidRDefault="004E3CBA" w:rsidP="004E3CBA">
            <w:pPr>
              <w:jc w:val="center"/>
              <w:rPr>
                <w:rFonts w:cs="Arial"/>
                <w:color w:val="FFFFFF" w:themeColor="background1"/>
              </w:rPr>
            </w:pPr>
            <w:r w:rsidRPr="006D44D9">
              <w:rPr>
                <w:rFonts w:cs="Arial"/>
                <w:color w:val="FFFFFF" w:themeColor="background1"/>
              </w:rPr>
              <w:t>POLICY</w:t>
            </w:r>
          </w:p>
          <w:p w:rsidR="004E3CBA" w:rsidRPr="006D44D9" w:rsidRDefault="004E3CBA" w:rsidP="00EF6AD1">
            <w:pPr>
              <w:jc w:val="center"/>
              <w:rPr>
                <w:rFonts w:cs="Arial"/>
                <w:color w:val="FFFFFF" w:themeColor="background1"/>
                <w:sz w:val="64"/>
                <w:szCs w:val="64"/>
              </w:rPr>
            </w:pPr>
            <w:r w:rsidRPr="006D44D9">
              <w:rPr>
                <w:rFonts w:cs="Arial"/>
                <w:color w:val="FFFFFF" w:themeColor="background1"/>
                <w:sz w:val="64"/>
                <w:szCs w:val="64"/>
              </w:rPr>
              <w:t>0</w:t>
            </w:r>
            <w:r w:rsidR="00EF6AD1" w:rsidRPr="006D44D9">
              <w:rPr>
                <w:rFonts w:cs="Arial"/>
                <w:color w:val="FFFFFF" w:themeColor="background1"/>
                <w:sz w:val="64"/>
                <w:szCs w:val="64"/>
              </w:rPr>
              <w:t>2</w:t>
            </w:r>
          </w:p>
        </w:tc>
        <w:tc>
          <w:tcPr>
            <w:tcW w:w="7915" w:type="dxa"/>
            <w:shd w:val="clear" w:color="auto" w:fill="0070C0"/>
            <w:vAlign w:val="center"/>
          </w:tcPr>
          <w:p w:rsidR="004E3CBA" w:rsidRPr="006D44D9" w:rsidRDefault="004E3CBA" w:rsidP="009753E9">
            <w:pPr>
              <w:jc w:val="right"/>
              <w:rPr>
                <w:rFonts w:cs="Arial"/>
                <w:b/>
                <w:color w:val="FFFFFF" w:themeColor="background1"/>
              </w:rPr>
            </w:pPr>
            <w:r w:rsidRPr="006D44D9">
              <w:rPr>
                <w:rFonts w:cs="Arial"/>
                <w:color w:val="FFFFFF" w:themeColor="background1"/>
              </w:rPr>
              <w:t xml:space="preserve">VERSION: </w:t>
            </w:r>
            <w:r w:rsidRPr="006D44D9">
              <w:rPr>
                <w:rFonts w:cs="Arial"/>
                <w:b/>
                <w:color w:val="FFFFFF" w:themeColor="background1"/>
              </w:rPr>
              <w:t xml:space="preserve"> </w:t>
            </w:r>
            <w:proofErr w:type="spellStart"/>
            <w:r w:rsidR="009753E9">
              <w:rPr>
                <w:rFonts w:cs="Arial"/>
                <w:b/>
                <w:color w:val="FFFFFF" w:themeColor="background1"/>
              </w:rPr>
              <w:t>x.x</w:t>
            </w:r>
            <w:proofErr w:type="spellEnd"/>
          </w:p>
        </w:tc>
      </w:tr>
      <w:tr w:rsidR="008F34B4" w:rsidRPr="006D44D9" w:rsidTr="00EF6AD1">
        <w:tc>
          <w:tcPr>
            <w:tcW w:w="1435" w:type="dxa"/>
            <w:vMerge/>
            <w:shd w:val="clear" w:color="auto" w:fill="0070C0"/>
          </w:tcPr>
          <w:p w:rsidR="004E3CBA" w:rsidRPr="006D44D9" w:rsidRDefault="004E3CBA" w:rsidP="00047659">
            <w:pPr>
              <w:rPr>
                <w:rFonts w:cs="Arial"/>
                <w:color w:val="FFFFFF" w:themeColor="background1"/>
              </w:rPr>
            </w:pPr>
          </w:p>
        </w:tc>
        <w:tc>
          <w:tcPr>
            <w:tcW w:w="7915" w:type="dxa"/>
            <w:shd w:val="clear" w:color="auto" w:fill="0070C0"/>
            <w:vAlign w:val="center"/>
          </w:tcPr>
          <w:p w:rsidR="004E3CBA" w:rsidRPr="006D44D9" w:rsidRDefault="004E3CBA" w:rsidP="009753E9">
            <w:pPr>
              <w:jc w:val="right"/>
              <w:rPr>
                <w:rFonts w:cs="Arial"/>
                <w:color w:val="FFFFFF" w:themeColor="background1"/>
              </w:rPr>
            </w:pPr>
            <w:r w:rsidRPr="006D44D9">
              <w:rPr>
                <w:rFonts w:cs="Arial"/>
                <w:color w:val="FFFFFF" w:themeColor="background1"/>
              </w:rPr>
              <w:t xml:space="preserve">EFFECTIVE DATE:  </w:t>
            </w:r>
            <w:r w:rsidR="009753E9">
              <w:rPr>
                <w:rFonts w:cs="Arial"/>
                <w:b/>
                <w:color w:val="FFFFFF" w:themeColor="background1"/>
              </w:rPr>
              <w:t>[DATE]</w:t>
            </w:r>
          </w:p>
        </w:tc>
      </w:tr>
      <w:tr w:rsidR="008F34B4" w:rsidRPr="006D44D9" w:rsidTr="00EF6AD1">
        <w:trPr>
          <w:trHeight w:val="324"/>
        </w:trPr>
        <w:tc>
          <w:tcPr>
            <w:tcW w:w="1435" w:type="dxa"/>
            <w:vMerge/>
            <w:shd w:val="clear" w:color="auto" w:fill="0070C0"/>
          </w:tcPr>
          <w:p w:rsidR="004E3CBA" w:rsidRPr="006D44D9" w:rsidRDefault="004E3CBA" w:rsidP="00047659">
            <w:pPr>
              <w:rPr>
                <w:rFonts w:cs="Arial"/>
                <w:color w:val="FFFFFF" w:themeColor="background1"/>
              </w:rPr>
            </w:pPr>
          </w:p>
        </w:tc>
        <w:tc>
          <w:tcPr>
            <w:tcW w:w="7915" w:type="dxa"/>
            <w:shd w:val="clear" w:color="auto" w:fill="0070C0"/>
            <w:vAlign w:val="center"/>
          </w:tcPr>
          <w:p w:rsidR="004E3CBA" w:rsidRPr="006D44D9" w:rsidRDefault="004E3CBA" w:rsidP="009753E9">
            <w:pPr>
              <w:jc w:val="right"/>
              <w:rPr>
                <w:rFonts w:cs="Arial"/>
                <w:color w:val="FFFFFF" w:themeColor="background1"/>
              </w:rPr>
            </w:pPr>
            <w:r w:rsidRPr="006D44D9">
              <w:rPr>
                <w:rFonts w:cs="Arial"/>
                <w:color w:val="FFFFFF" w:themeColor="background1"/>
              </w:rPr>
              <w:t xml:space="preserve">BOARD RATIFICATION DATE:  </w:t>
            </w:r>
            <w:r w:rsidR="009753E9">
              <w:rPr>
                <w:rFonts w:cs="Arial"/>
                <w:b/>
                <w:color w:val="FFFFFF" w:themeColor="background1"/>
              </w:rPr>
              <w:t>[DATE]</w:t>
            </w:r>
          </w:p>
        </w:tc>
      </w:tr>
      <w:tr w:rsidR="008F34B4" w:rsidRPr="006D44D9" w:rsidTr="00EF6AD1">
        <w:trPr>
          <w:trHeight w:val="324"/>
        </w:trPr>
        <w:tc>
          <w:tcPr>
            <w:tcW w:w="1435" w:type="dxa"/>
            <w:vMerge/>
            <w:shd w:val="clear" w:color="auto" w:fill="0070C0"/>
          </w:tcPr>
          <w:p w:rsidR="004E3CBA" w:rsidRPr="006D44D9" w:rsidRDefault="004E3CBA" w:rsidP="00047659">
            <w:pPr>
              <w:rPr>
                <w:rFonts w:cs="Arial"/>
                <w:color w:val="FFFFFF" w:themeColor="background1"/>
              </w:rPr>
            </w:pPr>
          </w:p>
        </w:tc>
        <w:tc>
          <w:tcPr>
            <w:tcW w:w="7915" w:type="dxa"/>
            <w:shd w:val="clear" w:color="auto" w:fill="0070C0"/>
            <w:vAlign w:val="center"/>
          </w:tcPr>
          <w:p w:rsidR="004E3CBA" w:rsidRPr="006D44D9" w:rsidRDefault="004E3CBA" w:rsidP="009753E9">
            <w:pPr>
              <w:jc w:val="right"/>
              <w:rPr>
                <w:rFonts w:cs="Arial"/>
                <w:color w:val="FFFFFF" w:themeColor="background1"/>
              </w:rPr>
            </w:pPr>
            <w:r w:rsidRPr="006D44D9">
              <w:rPr>
                <w:rFonts w:cs="Arial"/>
                <w:color w:val="FFFFFF" w:themeColor="background1"/>
              </w:rPr>
              <w:t xml:space="preserve">POLICY OWNER:  </w:t>
            </w:r>
            <w:r w:rsidR="009753E9">
              <w:rPr>
                <w:rFonts w:cs="Arial"/>
                <w:b/>
                <w:color w:val="FFFFFF" w:themeColor="background1"/>
              </w:rPr>
              <w:t>[TEAM]</w:t>
            </w:r>
          </w:p>
        </w:tc>
      </w:tr>
    </w:tbl>
    <w:p w:rsidR="00DA0D8C" w:rsidRDefault="00DA0D8C" w:rsidP="00047659"/>
    <w:p w:rsidR="00DA0D8C" w:rsidRDefault="00DA0D8C" w:rsidP="00047659"/>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165"/>
        <w:gridCol w:w="8185"/>
      </w:tblGrid>
      <w:tr w:rsidR="00DA0D8C" w:rsidRPr="006D44D9" w:rsidTr="00426DC2">
        <w:tc>
          <w:tcPr>
            <w:tcW w:w="1165" w:type="dxa"/>
            <w:vMerge w:val="restart"/>
            <w:shd w:val="clear" w:color="auto" w:fill="C00000"/>
            <w:vAlign w:val="center"/>
          </w:tcPr>
          <w:p w:rsidR="00DA0D8C" w:rsidRPr="006D44D9" w:rsidRDefault="00DA0D8C" w:rsidP="00426DC2">
            <w:pPr>
              <w:jc w:val="center"/>
              <w:rPr>
                <w:rFonts w:cs="Arial"/>
                <w:b/>
                <w:sz w:val="52"/>
                <w:szCs w:val="52"/>
              </w:rPr>
            </w:pPr>
            <w:r w:rsidRPr="006D44D9">
              <w:rPr>
                <w:rFonts w:cs="Arial"/>
                <w:b/>
                <w:sz w:val="52"/>
                <w:szCs w:val="52"/>
              </w:rPr>
              <w:t>!</w:t>
            </w:r>
          </w:p>
        </w:tc>
        <w:tc>
          <w:tcPr>
            <w:tcW w:w="8185" w:type="dxa"/>
          </w:tcPr>
          <w:p w:rsidR="00DA0D8C" w:rsidRPr="006D44D9" w:rsidRDefault="00DA0D8C" w:rsidP="00426DC2">
            <w:pPr>
              <w:pStyle w:val="Heading2"/>
              <w:outlineLvl w:val="1"/>
              <w:rPr>
                <w:rFonts w:cs="Arial"/>
                <w:color w:val="C00000"/>
              </w:rPr>
            </w:pPr>
            <w:bookmarkStart w:id="1" w:name="_Toc430436772"/>
            <w:bookmarkStart w:id="2" w:name="_Toc432169882"/>
            <w:r w:rsidRPr="006D44D9">
              <w:rPr>
                <w:rFonts w:cs="Arial"/>
                <w:color w:val="C00000"/>
              </w:rPr>
              <w:t>WARNING</w:t>
            </w:r>
            <w:bookmarkEnd w:id="1"/>
            <w:bookmarkEnd w:id="2"/>
          </w:p>
        </w:tc>
      </w:tr>
      <w:tr w:rsidR="00DA0D8C" w:rsidRPr="006D44D9" w:rsidTr="00426DC2">
        <w:tc>
          <w:tcPr>
            <w:tcW w:w="1165" w:type="dxa"/>
            <w:vMerge/>
            <w:shd w:val="clear" w:color="auto" w:fill="C00000"/>
          </w:tcPr>
          <w:p w:rsidR="00DA0D8C" w:rsidRPr="006D44D9" w:rsidRDefault="00DA0D8C" w:rsidP="00426DC2">
            <w:pPr>
              <w:rPr>
                <w:rFonts w:cs="Arial"/>
              </w:rPr>
            </w:pPr>
          </w:p>
        </w:tc>
        <w:tc>
          <w:tcPr>
            <w:tcW w:w="8185" w:type="dxa"/>
            <w:shd w:val="clear" w:color="auto" w:fill="C00000"/>
          </w:tcPr>
          <w:p w:rsidR="00DA0D8C" w:rsidRPr="006D44D9" w:rsidRDefault="005D69B8" w:rsidP="00426DC2">
            <w:pPr>
              <w:jc w:val="center"/>
              <w:rPr>
                <w:rFonts w:cs="Arial"/>
                <w:color w:val="FFFFFF" w:themeColor="background1"/>
              </w:rPr>
            </w:pPr>
            <w:r w:rsidRPr="006D44D9">
              <w:rPr>
                <w:rFonts w:cs="Arial"/>
                <w:color w:val="FFFFFF" w:themeColor="background1"/>
              </w:rPr>
              <w:t>Failure to adhere to policies may result in discipline up to and including termination.</w:t>
            </w:r>
          </w:p>
        </w:tc>
      </w:tr>
    </w:tbl>
    <w:p w:rsidR="00790597" w:rsidRDefault="007C6FB1" w:rsidP="00047659">
      <w:r>
        <w:br w:type="page"/>
      </w:r>
    </w:p>
    <w:sdt>
      <w:sdtPr>
        <w:rPr>
          <w:rFonts w:ascii="Delicious" w:eastAsiaTheme="minorHAnsi" w:hAnsi="Delicious" w:cstheme="minorBidi"/>
          <w:color w:val="auto"/>
          <w:sz w:val="20"/>
          <w:szCs w:val="22"/>
        </w:rPr>
        <w:id w:val="-1660230445"/>
        <w:docPartObj>
          <w:docPartGallery w:val="Table of Contents"/>
          <w:docPartUnique/>
        </w:docPartObj>
      </w:sdtPr>
      <w:sdtEndPr>
        <w:rPr>
          <w:rFonts w:ascii="Arial" w:hAnsi="Arial"/>
          <w:b/>
          <w:bCs/>
          <w:noProof/>
        </w:rPr>
      </w:sdtEndPr>
      <w:sdtContent>
        <w:p w:rsidR="00C637A2" w:rsidRPr="00C637A2" w:rsidRDefault="00C637A2" w:rsidP="00C637A2">
          <w:pPr>
            <w:pStyle w:val="TOCHeading"/>
            <w:jc w:val="center"/>
            <w:rPr>
              <w:rStyle w:val="Heading2Char"/>
            </w:rPr>
          </w:pPr>
          <w:r w:rsidRPr="00C637A2">
            <w:rPr>
              <w:rStyle w:val="Heading2Char"/>
            </w:rPr>
            <w:t>Contents</w:t>
          </w:r>
        </w:p>
        <w:p w:rsidR="00C637A2" w:rsidRPr="00EF6AD1" w:rsidRDefault="00C637A2" w:rsidP="00C637A2">
          <w:pPr>
            <w:pStyle w:val="TOC2"/>
            <w:tabs>
              <w:tab w:val="right" w:leader="dot" w:pos="9350"/>
            </w:tabs>
            <w:rPr>
              <w:color w:val="0070C0"/>
            </w:rPr>
          </w:pPr>
        </w:p>
        <w:p w:rsidR="009A6CEB" w:rsidRPr="009A6CEB" w:rsidRDefault="00C637A2" w:rsidP="006D44D9">
          <w:pPr>
            <w:pStyle w:val="TOC2"/>
            <w:tabs>
              <w:tab w:val="right" w:leader="dot" w:pos="9350"/>
            </w:tabs>
            <w:ind w:left="0"/>
            <w:rPr>
              <w:rFonts w:asciiTheme="minorHAnsi" w:eastAsiaTheme="minorEastAsia" w:hAnsiTheme="minorHAnsi"/>
              <w:caps/>
              <w:noProof/>
              <w:sz w:val="22"/>
            </w:rPr>
          </w:pPr>
          <w:r w:rsidRPr="00EF6AD1">
            <w:rPr>
              <w:color w:val="0070C0"/>
            </w:rPr>
            <w:fldChar w:fldCharType="begin"/>
          </w:r>
          <w:r w:rsidRPr="00EF6AD1">
            <w:rPr>
              <w:color w:val="0070C0"/>
            </w:rPr>
            <w:instrText xml:space="preserve"> TOC \o "1-3" \h \z \u </w:instrText>
          </w:r>
          <w:r w:rsidRPr="00EF6AD1">
            <w:rPr>
              <w:color w:val="0070C0"/>
            </w:rPr>
            <w:fldChar w:fldCharType="separate"/>
          </w:r>
          <w:hyperlink w:anchor="_Toc432169883" w:history="1">
            <w:r w:rsidR="009A6CEB" w:rsidRPr="009A6CEB">
              <w:rPr>
                <w:rStyle w:val="Hyperlink"/>
                <w:caps/>
                <w:noProof/>
              </w:rPr>
              <w:t>Policy Purpose and Overview</w:t>
            </w:r>
            <w:r w:rsidR="009A6CEB" w:rsidRPr="009A6CEB">
              <w:rPr>
                <w:caps/>
                <w:noProof/>
                <w:webHidden/>
              </w:rPr>
              <w:tab/>
            </w:r>
            <w:r w:rsidR="009A6CEB" w:rsidRPr="009A6CEB">
              <w:rPr>
                <w:caps/>
                <w:noProof/>
                <w:webHidden/>
              </w:rPr>
              <w:fldChar w:fldCharType="begin"/>
            </w:r>
            <w:r w:rsidR="009A6CEB" w:rsidRPr="009A6CEB">
              <w:rPr>
                <w:caps/>
                <w:noProof/>
                <w:webHidden/>
              </w:rPr>
              <w:instrText xml:space="preserve"> PAGEREF _Toc432169883 \h </w:instrText>
            </w:r>
            <w:r w:rsidR="009A6CEB" w:rsidRPr="009A6CEB">
              <w:rPr>
                <w:caps/>
                <w:noProof/>
                <w:webHidden/>
              </w:rPr>
            </w:r>
            <w:r w:rsidR="009A6CEB" w:rsidRPr="009A6CEB">
              <w:rPr>
                <w:caps/>
                <w:noProof/>
                <w:webHidden/>
              </w:rPr>
              <w:fldChar w:fldCharType="separate"/>
            </w:r>
            <w:r w:rsidR="009A6CEB">
              <w:rPr>
                <w:caps/>
                <w:noProof/>
                <w:webHidden/>
              </w:rPr>
              <w:t>2</w:t>
            </w:r>
            <w:r w:rsidR="009A6CEB" w:rsidRPr="009A6CEB">
              <w:rPr>
                <w:caps/>
                <w:noProof/>
                <w:webHidden/>
              </w:rPr>
              <w:fldChar w:fldCharType="end"/>
            </w:r>
          </w:hyperlink>
        </w:p>
        <w:p w:rsidR="009A6CEB" w:rsidRPr="009A6CEB" w:rsidRDefault="00525DF3">
          <w:pPr>
            <w:pStyle w:val="TOC1"/>
            <w:tabs>
              <w:tab w:val="right" w:leader="dot" w:pos="9350"/>
            </w:tabs>
            <w:rPr>
              <w:rFonts w:asciiTheme="minorHAnsi" w:eastAsiaTheme="minorEastAsia" w:hAnsiTheme="minorHAnsi"/>
              <w:caps/>
              <w:noProof/>
              <w:sz w:val="22"/>
            </w:rPr>
          </w:pPr>
          <w:hyperlink w:anchor="_Toc432169889" w:history="1">
            <w:r w:rsidR="009A6CEB" w:rsidRPr="009A6CEB">
              <w:rPr>
                <w:rStyle w:val="Hyperlink"/>
                <w:caps/>
                <w:noProof/>
              </w:rPr>
              <w:t>Program</w:t>
            </w:r>
            <w:r w:rsidR="009A6CEB" w:rsidRPr="009A6CEB">
              <w:rPr>
                <w:caps/>
                <w:noProof/>
                <w:webHidden/>
              </w:rPr>
              <w:tab/>
            </w:r>
            <w:r w:rsidR="009A6CEB" w:rsidRPr="009A6CEB">
              <w:rPr>
                <w:caps/>
                <w:noProof/>
                <w:webHidden/>
              </w:rPr>
              <w:fldChar w:fldCharType="begin"/>
            </w:r>
            <w:r w:rsidR="009A6CEB" w:rsidRPr="009A6CEB">
              <w:rPr>
                <w:caps/>
                <w:noProof/>
                <w:webHidden/>
              </w:rPr>
              <w:instrText xml:space="preserve"> PAGEREF _Toc432169889 \h </w:instrText>
            </w:r>
            <w:r w:rsidR="009A6CEB" w:rsidRPr="009A6CEB">
              <w:rPr>
                <w:caps/>
                <w:noProof/>
                <w:webHidden/>
              </w:rPr>
            </w:r>
            <w:r w:rsidR="009A6CEB" w:rsidRPr="009A6CEB">
              <w:rPr>
                <w:caps/>
                <w:noProof/>
                <w:webHidden/>
              </w:rPr>
              <w:fldChar w:fldCharType="separate"/>
            </w:r>
            <w:r w:rsidR="009A6CEB">
              <w:rPr>
                <w:caps/>
                <w:noProof/>
                <w:webHidden/>
              </w:rPr>
              <w:t>3</w:t>
            </w:r>
            <w:r w:rsidR="009A6CEB" w:rsidRPr="009A6CEB">
              <w:rPr>
                <w:caps/>
                <w:noProof/>
                <w:webHidden/>
              </w:rPr>
              <w:fldChar w:fldCharType="end"/>
            </w:r>
          </w:hyperlink>
        </w:p>
        <w:p w:rsidR="00C637A2" w:rsidRDefault="00C637A2">
          <w:r w:rsidRPr="00EF6AD1">
            <w:rPr>
              <w:b/>
              <w:bCs/>
              <w:noProof/>
              <w:color w:val="0070C0"/>
            </w:rPr>
            <w:fldChar w:fldCharType="end"/>
          </w:r>
        </w:p>
      </w:sdtContent>
    </w:sdt>
    <w:p w:rsidR="00B61FCC" w:rsidRDefault="00B61FCC">
      <w:pPr>
        <w:jc w:val="left"/>
        <w:rPr>
          <w:rFonts w:ascii="Helvetica Bold" w:eastAsiaTheme="majorEastAsia" w:hAnsi="Helvetica Bold" w:cstheme="majorBidi"/>
          <w:caps/>
          <w:color w:val="FFFFFF" w:themeColor="background1"/>
          <w:spacing w:val="20"/>
          <w:sz w:val="40"/>
          <w:szCs w:val="32"/>
        </w:rPr>
      </w:pPr>
    </w:p>
    <w:p w:rsidR="007C6FB1" w:rsidRDefault="00DA0D8C" w:rsidP="00C637A2">
      <w:pPr>
        <w:pStyle w:val="Heading1"/>
      </w:pPr>
      <w:bookmarkStart w:id="3" w:name="_Toc432169883"/>
      <w:r>
        <w:t>Policy Purpose and Overview</w:t>
      </w:r>
      <w:bookmarkEnd w:id="3"/>
    </w:p>
    <w:p w:rsidR="00DA0D8C" w:rsidRDefault="00DA0D8C" w:rsidP="00C637A2"/>
    <w:p w:rsidR="001E5FA3" w:rsidRDefault="001E5FA3" w:rsidP="00C637A2">
      <w:r>
        <w:t xml:space="preserve">The Guidelines for Safeguarding Member Information (Guidelines) set forth standards pursuant to sections 501 and 505(b), codified at 15 U.S.C. 6801 and 6805(b), of the Gramm-Leach-Bliley Act. These Guidelines provide guidance standards for developing and implementing administrative, technical, and physical safeguards to protect the security, confidentiality, and integrity of member information. These Guidelines also address standards with respect to the proper disposal of consumer information pursuant to sections 621(b) and 628 of the Fair Credit Reporting Act (15 U.S.C. </w:t>
      </w:r>
      <w:proofErr w:type="gramStart"/>
      <w:r>
        <w:t>1681s(</w:t>
      </w:r>
      <w:proofErr w:type="gramEnd"/>
      <w:r>
        <w:t>b) and 1681w).</w:t>
      </w:r>
    </w:p>
    <w:p w:rsidR="001E5FA3" w:rsidRDefault="001E5FA3" w:rsidP="00B61FCC">
      <w:r>
        <w:t xml:space="preserve">This </w:t>
      </w:r>
      <w:r w:rsidRPr="001E5FA3">
        <w:rPr>
          <w:i/>
        </w:rPr>
        <w:t>Information Security Policy and Program</w:t>
      </w:r>
      <w:r w:rsidRPr="001E5FA3">
        <w:t xml:space="preserve"> </w:t>
      </w:r>
      <w:r>
        <w:t xml:space="preserve">is </w:t>
      </w:r>
      <w:r w:rsidRPr="001E5FA3">
        <w:t xml:space="preserve">designed to: </w:t>
      </w:r>
    </w:p>
    <w:p w:rsidR="001E5FA3" w:rsidRDefault="001E5FA3" w:rsidP="001E5FA3">
      <w:pPr>
        <w:pStyle w:val="ListParagraph"/>
        <w:numPr>
          <w:ilvl w:val="0"/>
          <w:numId w:val="1"/>
        </w:numPr>
      </w:pPr>
      <w:r w:rsidRPr="001E5FA3">
        <w:t xml:space="preserve">ensure the security and confidentiality of member information; </w:t>
      </w:r>
    </w:p>
    <w:p w:rsidR="001E5FA3" w:rsidRDefault="001E5FA3" w:rsidP="001E5FA3">
      <w:pPr>
        <w:pStyle w:val="ListParagraph"/>
        <w:numPr>
          <w:ilvl w:val="0"/>
          <w:numId w:val="1"/>
        </w:numPr>
      </w:pPr>
      <w:r w:rsidRPr="001E5FA3">
        <w:t xml:space="preserve">protect against any anticipated threats or hazards to the security or integrity of such information; </w:t>
      </w:r>
    </w:p>
    <w:p w:rsidR="001E5FA3" w:rsidRDefault="001E5FA3" w:rsidP="001E5FA3">
      <w:pPr>
        <w:pStyle w:val="ListParagraph"/>
        <w:numPr>
          <w:ilvl w:val="0"/>
          <w:numId w:val="1"/>
        </w:numPr>
      </w:pPr>
      <w:r w:rsidRPr="001E5FA3">
        <w:t xml:space="preserve">protect against unauthorized access to or use of such information that could result in substantial harm or inconvenience to any member; and </w:t>
      </w:r>
    </w:p>
    <w:p w:rsidR="001E5FA3" w:rsidRDefault="001E5FA3" w:rsidP="001E5FA3">
      <w:pPr>
        <w:pStyle w:val="ListParagraph"/>
        <w:numPr>
          <w:ilvl w:val="0"/>
          <w:numId w:val="1"/>
        </w:numPr>
      </w:pPr>
      <w:proofErr w:type="gramStart"/>
      <w:r w:rsidRPr="001E5FA3">
        <w:t>ensure</w:t>
      </w:r>
      <w:proofErr w:type="gramEnd"/>
      <w:r w:rsidRPr="001E5FA3">
        <w:t xml:space="preserve"> the proper disposal of member information and consumer information.</w:t>
      </w:r>
    </w:p>
    <w:p w:rsidR="007717D0" w:rsidRDefault="007717D0" w:rsidP="00B61FCC">
      <w:r w:rsidRPr="007717D0">
        <w:t xml:space="preserve">The </w:t>
      </w:r>
      <w:r w:rsidR="00013DDE">
        <w:t>[CLIENT OR CUSO]</w:t>
      </w:r>
      <w:r w:rsidRPr="007717D0">
        <w:t xml:space="preserve"> Information Security Program is designed to provide clear guidance to all staff on the minimum standards of data protection.  This Program also provides guidance on the regulatory and contractual obligations </w:t>
      </w:r>
      <w:r w:rsidR="00013DDE">
        <w:t>[CLIENT OR CUSO]</w:t>
      </w:r>
      <w:r w:rsidRPr="007717D0">
        <w:t xml:space="preserve"> must fulfill to continue in business.  </w:t>
      </w:r>
      <w:r w:rsidR="00013DDE">
        <w:t>[CLIENT OR CUSO]</w:t>
      </w:r>
      <w:r w:rsidRPr="007717D0">
        <w:t xml:space="preserve"> aspires to the best possible security of sensitive information within the bounds of commercial reasonableness.  </w:t>
      </w:r>
      <w:r w:rsidR="00013DDE">
        <w:t>[CLIENT OR CUSO]</w:t>
      </w:r>
      <w:r w:rsidRPr="007717D0">
        <w:t xml:space="preserve"> enforces this program through technical controls and audits.  </w:t>
      </w:r>
    </w:p>
    <w:p w:rsidR="00DA33D5" w:rsidRDefault="00DA33D5" w:rsidP="00DA33D5">
      <w:pPr>
        <w:pStyle w:val="Heading2"/>
        <w:rPr>
          <w:b/>
          <w:caps w:val="0"/>
          <w:color w:val="FFFFFF" w:themeColor="background1"/>
        </w:rPr>
      </w:pPr>
      <w:bookmarkStart w:id="4" w:name="_Toc432169884"/>
      <w:r>
        <w:t>KEY TEAMS</w:t>
      </w:r>
      <w:r>
        <w:rPr>
          <w:b/>
          <w:color w:val="FFFFFF" w:themeColor="background1"/>
        </w:rPr>
        <w:t>rs</w:t>
      </w:r>
      <w:bookmarkEnd w:id="4"/>
    </w:p>
    <w:p w:rsidR="00DA33D5" w:rsidRDefault="00DA33D5" w:rsidP="00DA33D5">
      <w:r>
        <w:t xml:space="preserve">The corporate officers of </w:t>
      </w:r>
      <w:r w:rsidR="00013DDE">
        <w:t>[CLIENT OR CUSO]</w:t>
      </w:r>
      <w:r>
        <w:t xml:space="preserve"> are the CEO, the CFO, the COO, and the CIO.</w:t>
      </w:r>
    </w:p>
    <w:p w:rsidR="00DA33D5" w:rsidRDefault="00DA33D5" w:rsidP="00DA33D5">
      <w:pPr>
        <w:pStyle w:val="Heading3"/>
      </w:pPr>
      <w:bookmarkStart w:id="5" w:name="_Toc432169885"/>
      <w:r>
        <w:t>Security Officers</w:t>
      </w:r>
      <w:bookmarkEnd w:id="5"/>
    </w:p>
    <w:p w:rsidR="00DA33D5" w:rsidRDefault="00DA33D5" w:rsidP="00DA33D5">
      <w:r>
        <w:t xml:space="preserve">The security officers of </w:t>
      </w:r>
      <w:r w:rsidR="00013DDE">
        <w:t>[CLIENT OR CUSO]</w:t>
      </w:r>
      <w:r>
        <w:t xml:space="preserve"> are any corporate officers, the VP of Network Technologies, the AVP of Managed Technologies, the Mangers of Network Engineering and Implementation, the Internal Auditor, and the Facilities Manager.</w:t>
      </w:r>
    </w:p>
    <w:p w:rsidR="007717D0" w:rsidRDefault="00DA33D5" w:rsidP="00DA33D5">
      <w:pPr>
        <w:pStyle w:val="Heading3"/>
        <w:jc w:val="left"/>
      </w:pPr>
      <w:bookmarkStart w:id="6" w:name="_Toc432169886"/>
      <w:r>
        <w:t>Incident Response Team</w:t>
      </w:r>
      <w:bookmarkEnd w:id="6"/>
    </w:p>
    <w:p w:rsidR="00DA33D5" w:rsidRDefault="00DA33D5" w:rsidP="00DA33D5">
      <w:r w:rsidRPr="00DA33D5">
        <w:t xml:space="preserve">The IR team consists of the following positions:  CEO, CIO, </w:t>
      </w:r>
      <w:r>
        <w:t xml:space="preserve">COO, </w:t>
      </w:r>
      <w:r w:rsidRPr="00DA33D5">
        <w:t>CFO, Executive VP of Sales, VP of Network Technologies, the Managers of Network E</w:t>
      </w:r>
      <w:r w:rsidR="0015253C">
        <w:t xml:space="preserve">ngineering and Implementation, </w:t>
      </w:r>
      <w:r w:rsidRPr="00DA33D5">
        <w:t>Series-I Administration Manager, Writing Team Manager, and the Internal Auditor.</w:t>
      </w:r>
    </w:p>
    <w:p w:rsidR="00DA33D5" w:rsidRDefault="00DA33D5" w:rsidP="00DA33D5">
      <w:pPr>
        <w:pStyle w:val="Heading2"/>
      </w:pPr>
      <w:bookmarkStart w:id="7" w:name="_Toc432169887"/>
      <w:r>
        <w:t>DATA CLASSIFICATION</w:t>
      </w:r>
      <w:bookmarkEnd w:id="7"/>
    </w:p>
    <w:p w:rsidR="00DA33D5" w:rsidRDefault="00013DDE" w:rsidP="00DA33D5">
      <w:r>
        <w:t>[CLIENT OR CUSO]</w:t>
      </w:r>
      <w:r w:rsidR="00DA33D5">
        <w:t xml:space="preserve"> relies on just two categories of data classification:  data is either sensitive or not sensitive.  Sensitive data must be protected in accordance with this Information Security Program and all policies of </w:t>
      </w:r>
      <w:r>
        <w:t>[CLIENT OR CUSO]</w:t>
      </w:r>
      <w:r w:rsidR="00DA33D5">
        <w:t>.  Data that is not sensitive does not require security controls, although employees are cautioned to use information in accordance with the Employee Handbook and Acceptable Use.</w:t>
      </w:r>
    </w:p>
    <w:p w:rsidR="00DA33D5" w:rsidRDefault="00DA33D5" w:rsidP="00DA33D5">
      <w:pPr>
        <w:pStyle w:val="Heading3"/>
      </w:pPr>
      <w:bookmarkStart w:id="8" w:name="_Toc432169888"/>
      <w:r>
        <w:lastRenderedPageBreak/>
        <w:t>Examples of Sensitive Member Data</w:t>
      </w:r>
      <w:bookmarkEnd w:id="8"/>
    </w:p>
    <w:p w:rsidR="007717D0" w:rsidRDefault="00DA33D5" w:rsidP="00DA33D5">
      <w:pPr>
        <w:rPr>
          <w:rFonts w:ascii="Futura Md BT" w:eastAsiaTheme="majorEastAsia" w:hAnsi="Futura Md BT" w:cstheme="majorBidi"/>
          <w:caps/>
          <w:spacing w:val="20"/>
          <w:sz w:val="40"/>
          <w:szCs w:val="32"/>
        </w:rPr>
      </w:pPr>
      <w:r>
        <w:t>Examples of sensitive information include but are not limited to:  the fact that an individual is the customer of a particular financial institution; consumer's name, address, social security number, credit card number, or account number; any information a consumer provides on an application; information from a "cookie" obtained in using a website; and information on a consumer report obtained by a financial institution (NOTE: Such information may also be covered by the Fair Credit Reporting Act).</w:t>
      </w:r>
    </w:p>
    <w:p w:rsidR="00792ADC" w:rsidRDefault="00792ADC" w:rsidP="00792ADC">
      <w:pPr>
        <w:pStyle w:val="Heading1"/>
      </w:pPr>
      <w:bookmarkStart w:id="9" w:name="_Toc432169889"/>
      <w:r>
        <w:t>Program</w:t>
      </w:r>
      <w:bookmarkEnd w:id="9"/>
    </w:p>
    <w:p w:rsidR="00792ADC" w:rsidRDefault="00792ADC" w:rsidP="00B61FCC"/>
    <w:p w:rsidR="00813E40" w:rsidRDefault="00471EBF" w:rsidP="00471EBF">
      <w:pPr>
        <w:pStyle w:val="Heading2"/>
      </w:pPr>
      <w:bookmarkStart w:id="10" w:name="_Toc432169890"/>
      <w:r>
        <w:t>Implementation</w:t>
      </w:r>
      <w:bookmarkEnd w:id="10"/>
    </w:p>
    <w:p w:rsidR="00471EBF" w:rsidRDefault="00395D13" w:rsidP="00813E40">
      <w:r>
        <w:t xml:space="preserve">This Policy and Program is implemented by the </w:t>
      </w:r>
      <w:r w:rsidR="00013DDE">
        <w:t>[CLIENT OR CUSO]</w:t>
      </w:r>
      <w:r>
        <w:t xml:space="preserve"> Board of Directors.  </w:t>
      </w:r>
      <w:r w:rsidR="00A36E80">
        <w:t xml:space="preserve">Executive management is </w:t>
      </w:r>
      <w:r w:rsidR="00704444">
        <w:t>responsible for oversight and reviewing reports</w:t>
      </w:r>
      <w:r w:rsidR="00792ADC">
        <w:t xml:space="preserve"> submitted by the Internal Audit Team</w:t>
      </w:r>
      <w:r w:rsidR="00704444">
        <w:t>.</w:t>
      </w:r>
      <w:r w:rsidR="00792ADC">
        <w:t xml:space="preserve">  Implementation of the Program is the responsibility of the </w:t>
      </w:r>
      <w:r w:rsidR="00D60FC8">
        <w:t>Security Officers.</w:t>
      </w:r>
    </w:p>
    <w:p w:rsidR="00D60FC8" w:rsidRDefault="00D60FC8" w:rsidP="00813E40">
      <w:r>
        <w:t>Vendors must agree to meet the requirements of the law if they have access to sensitive member information.</w:t>
      </w:r>
    </w:p>
    <w:p w:rsidR="00704444" w:rsidRDefault="00704444" w:rsidP="00704444">
      <w:pPr>
        <w:pStyle w:val="Heading2"/>
      </w:pPr>
      <w:bookmarkStart w:id="11" w:name="_Toc432169891"/>
      <w:r>
        <w:t>Risk Assessment</w:t>
      </w:r>
      <w:bookmarkEnd w:id="11"/>
    </w:p>
    <w:p w:rsidR="00704444" w:rsidRDefault="00416D85" w:rsidP="00813E40">
      <w:r>
        <w:t xml:space="preserve">The program will have a risk assessment performed by the Internal Audit Team, which will be </w:t>
      </w:r>
      <w:r w:rsidRPr="00416D85">
        <w:t xml:space="preserve">on no less than an annual basis, </w:t>
      </w:r>
      <w:r>
        <w:t xml:space="preserve">and </w:t>
      </w:r>
      <w:r w:rsidRPr="00416D85">
        <w:t>directed against the foreseeable internal and external threats that could result in unauthorized disclosure, misuse, alteration, or destruction of member information or member information systems</w:t>
      </w:r>
      <w:r>
        <w:t>.</w:t>
      </w:r>
    </w:p>
    <w:p w:rsidR="00416D85" w:rsidRDefault="00416D85" w:rsidP="00813E40">
      <w:r>
        <w:t xml:space="preserve">This Program risk assessment will </w:t>
      </w:r>
      <w:r w:rsidRPr="00416D85">
        <w:t>assess the likelihood and potential damage of these threats, taking into consideration the sensitivity of member information</w:t>
      </w:r>
      <w:r w:rsidR="00792ADC">
        <w:t>.</w:t>
      </w:r>
    </w:p>
    <w:p w:rsidR="00416D85" w:rsidRDefault="00416D85" w:rsidP="00813E40">
      <w:r>
        <w:t xml:space="preserve">The Program risk assessment will assess </w:t>
      </w:r>
      <w:r w:rsidRPr="00416D85">
        <w:t>the sufficiency of policies, procedures, member information systems, and other arrangements in plac</w:t>
      </w:r>
      <w:r>
        <w:t>e to control risks.</w:t>
      </w:r>
    </w:p>
    <w:p w:rsidR="00D60FC8" w:rsidRDefault="00D60FC8" w:rsidP="00D60FC8">
      <w:pPr>
        <w:pStyle w:val="Heading2"/>
      </w:pPr>
      <w:bookmarkStart w:id="12" w:name="_Toc432169892"/>
      <w:r>
        <w:t>Manage and Control Risk</w:t>
      </w:r>
      <w:bookmarkEnd w:id="12"/>
    </w:p>
    <w:p w:rsidR="00D60FC8" w:rsidRDefault="00013DDE" w:rsidP="00D60FC8">
      <w:r>
        <w:t>[CLIENT OR CUSO]</w:t>
      </w:r>
      <w:r w:rsidR="00D60FC8">
        <w:t xml:space="preserve"> will design the Information Security Program to control identified risks and implement commercially reasonable security controls, including:  access controls on information systems with sensitive data; restrictions on physical access to information systems; reasonable efforts to provide encryption of sensitive information; procedures designed to ensure security during and after system modifications; as appropriate, dual controls procedures, segregation of duties, and employee background checks for employees; monitoring systems and procedures to detect actual and attempted attacks on or intrusions into information systems; response programs that specify actions to be taken when </w:t>
      </w:r>
      <w:r>
        <w:t>[CLIENT OR CUSO]</w:t>
      </w:r>
      <w:r w:rsidR="00D60FC8">
        <w:t xml:space="preserve"> suspects or detects that unauthorized individuals have gained access to member information systems, including appropriate reports to regulatory and law enforcement agencies; review whether member information disposed of properly; and measures to protect against destruction, loss, or damage of member information due to  potential environmental hazards, such as fire and water damage or technical failures. </w:t>
      </w:r>
    </w:p>
    <w:p w:rsidR="00471EBF" w:rsidRDefault="00D60FC8" w:rsidP="00D60FC8">
      <w:r>
        <w:t xml:space="preserve">Staff is trained to understand and implement this program.  Controls will be tested both internally and by external parties.  As part of this program, appropriate measures will be taken to properly dispose of member information.  </w:t>
      </w:r>
    </w:p>
    <w:p w:rsidR="001E5FA3" w:rsidRDefault="00D60FC8" w:rsidP="00D60FC8">
      <w:pPr>
        <w:pStyle w:val="Heading2"/>
      </w:pPr>
      <w:bookmarkStart w:id="13" w:name="_Toc432169893"/>
      <w:r>
        <w:t>Audits</w:t>
      </w:r>
      <w:bookmarkEnd w:id="13"/>
    </w:p>
    <w:p w:rsidR="00D60FC8" w:rsidRDefault="00D60FC8" w:rsidP="001E5FA3">
      <w:r>
        <w:t xml:space="preserve">Regular audits on the key controls and information systems is conducted by the Internal Audit Team.  An annual report on the status of the Information Security Program will </w:t>
      </w:r>
      <w:r w:rsidR="009A6CEB">
        <w:t>be part of the annual Audit Plan.</w:t>
      </w:r>
      <w:r>
        <w:t xml:space="preserve">  </w:t>
      </w:r>
      <w:r w:rsidR="009A6CEB">
        <w:t>The status will include the following information:</w:t>
      </w:r>
    </w:p>
    <w:p w:rsidR="009A6CEB" w:rsidRPr="009A6CEB" w:rsidRDefault="009A6CEB" w:rsidP="009A6CEB">
      <w:pPr>
        <w:pStyle w:val="NoSpacing"/>
        <w:numPr>
          <w:ilvl w:val="0"/>
          <w:numId w:val="3"/>
        </w:numPr>
        <w:rPr>
          <w:szCs w:val="20"/>
        </w:rPr>
      </w:pPr>
      <w:r w:rsidRPr="009A6CEB">
        <w:rPr>
          <w:szCs w:val="20"/>
        </w:rPr>
        <w:t xml:space="preserve">The risk assessment </w:t>
      </w:r>
    </w:p>
    <w:p w:rsidR="009A6CEB" w:rsidRPr="009A6CEB" w:rsidRDefault="009A6CEB" w:rsidP="009A6CEB">
      <w:pPr>
        <w:pStyle w:val="NoSpacing"/>
        <w:numPr>
          <w:ilvl w:val="0"/>
          <w:numId w:val="3"/>
        </w:numPr>
        <w:rPr>
          <w:szCs w:val="20"/>
        </w:rPr>
      </w:pPr>
      <w:r w:rsidRPr="009A6CEB">
        <w:rPr>
          <w:szCs w:val="20"/>
        </w:rPr>
        <w:lastRenderedPageBreak/>
        <w:t>The status of the controls</w:t>
      </w:r>
    </w:p>
    <w:p w:rsidR="009A6CEB" w:rsidRPr="009A6CEB" w:rsidRDefault="009A6CEB" w:rsidP="009A6CEB">
      <w:pPr>
        <w:pStyle w:val="NoSpacing"/>
        <w:numPr>
          <w:ilvl w:val="0"/>
          <w:numId w:val="3"/>
        </w:numPr>
        <w:rPr>
          <w:szCs w:val="20"/>
        </w:rPr>
      </w:pPr>
      <w:r w:rsidRPr="009A6CEB">
        <w:rPr>
          <w:szCs w:val="20"/>
        </w:rPr>
        <w:t>Service provider arrangements</w:t>
      </w:r>
    </w:p>
    <w:p w:rsidR="009A6CEB" w:rsidRPr="009A6CEB" w:rsidRDefault="009A6CEB" w:rsidP="009A6CEB">
      <w:pPr>
        <w:pStyle w:val="NoSpacing"/>
        <w:numPr>
          <w:ilvl w:val="0"/>
          <w:numId w:val="3"/>
        </w:numPr>
        <w:rPr>
          <w:szCs w:val="20"/>
        </w:rPr>
      </w:pPr>
      <w:r w:rsidRPr="009A6CEB">
        <w:rPr>
          <w:szCs w:val="20"/>
        </w:rPr>
        <w:t>Results of testing</w:t>
      </w:r>
    </w:p>
    <w:p w:rsidR="009A6CEB" w:rsidRPr="009A6CEB" w:rsidRDefault="009A6CEB" w:rsidP="009A6CEB">
      <w:pPr>
        <w:pStyle w:val="NoSpacing"/>
        <w:numPr>
          <w:ilvl w:val="0"/>
          <w:numId w:val="3"/>
        </w:numPr>
        <w:rPr>
          <w:szCs w:val="20"/>
        </w:rPr>
      </w:pPr>
      <w:r w:rsidRPr="009A6CEB">
        <w:rPr>
          <w:szCs w:val="20"/>
        </w:rPr>
        <w:t>Breaches or violations reported to management</w:t>
      </w:r>
    </w:p>
    <w:p w:rsidR="009A6CEB" w:rsidRDefault="009A6CEB" w:rsidP="009A6CEB"/>
    <w:sectPr w:rsidR="009A6CEB" w:rsidSect="004A2EE8">
      <w:foot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DF3" w:rsidRDefault="00525DF3" w:rsidP="0043180B">
      <w:pPr>
        <w:spacing w:after="0" w:line="240" w:lineRule="auto"/>
      </w:pPr>
      <w:r>
        <w:separator/>
      </w:r>
    </w:p>
  </w:endnote>
  <w:endnote w:type="continuationSeparator" w:id="0">
    <w:p w:rsidR="00525DF3" w:rsidRDefault="00525DF3" w:rsidP="0043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 w:name="Delicious">
    <w:panose1 w:val="00000000000000000000"/>
    <w:charset w:val="00"/>
    <w:family w:val="modern"/>
    <w:notTrueType/>
    <w:pitch w:val="variable"/>
    <w:sig w:usb0="800000AF" w:usb1="40002048" w:usb2="00000000" w:usb3="00000000" w:csb0="00000111" w:csb1="00000000"/>
  </w:font>
  <w:font w:name="Helvetica Bold">
    <w:panose1 w:val="00000000000000000000"/>
    <w:charset w:val="00"/>
    <w:family w:val="swiss"/>
    <w:notTrueType/>
    <w:pitch w:val="variable"/>
    <w:sig w:usb0="00000003" w:usb1="00000000" w:usb2="00000000" w:usb3="00000000" w:csb0="00000001" w:csb1="00000000"/>
  </w:font>
  <w:font w:name="Futura Md BT">
    <w:altName w:val="Segoe UI Semibold"/>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E8" w:rsidRPr="00EF6AD1" w:rsidRDefault="00525DF3" w:rsidP="00EF6AD1">
    <w:pPr>
      <w:pStyle w:val="Footer"/>
      <w:pBdr>
        <w:top w:val="single" w:sz="2" w:space="1" w:color="0070C0"/>
        <w:bottom w:val="single" w:sz="2" w:space="1" w:color="0070C0"/>
      </w:pBdr>
      <w:jc w:val="right"/>
      <w:rPr>
        <w:color w:val="0070C0"/>
        <w:sz w:val="16"/>
        <w:szCs w:val="16"/>
      </w:rPr>
    </w:pPr>
    <w:sdt>
      <w:sdtPr>
        <w:id w:val="-1769616900"/>
        <w:docPartObj>
          <w:docPartGallery w:val="Page Numbers (Top of Page)"/>
          <w:docPartUnique/>
        </w:docPartObj>
      </w:sdtPr>
      <w:sdtEndPr>
        <w:rPr>
          <w:color w:val="0070C0"/>
          <w:sz w:val="16"/>
          <w:szCs w:val="16"/>
        </w:rPr>
      </w:sdtEndPr>
      <w:sdtContent>
        <w:r w:rsidR="00EF6AD1" w:rsidRPr="00EF6AD1">
          <w:rPr>
            <w:color w:val="0070C0"/>
            <w:sz w:val="16"/>
            <w:szCs w:val="16"/>
          </w:rPr>
          <w:t>Information Security Policy and Program</w:t>
        </w:r>
        <w:r w:rsidR="004A2EE8" w:rsidRPr="00EF6AD1">
          <w:rPr>
            <w:color w:val="0070C0"/>
            <w:sz w:val="16"/>
            <w:szCs w:val="16"/>
          </w:rPr>
          <w:t xml:space="preserve"> | Page </w:t>
        </w:r>
        <w:r w:rsidR="004A2EE8" w:rsidRPr="00EF6AD1">
          <w:rPr>
            <w:b/>
            <w:bCs/>
            <w:color w:val="0070C0"/>
            <w:sz w:val="16"/>
            <w:szCs w:val="16"/>
          </w:rPr>
          <w:fldChar w:fldCharType="begin"/>
        </w:r>
        <w:r w:rsidR="004A2EE8" w:rsidRPr="00EF6AD1">
          <w:rPr>
            <w:b/>
            <w:bCs/>
            <w:color w:val="0070C0"/>
            <w:sz w:val="16"/>
            <w:szCs w:val="16"/>
          </w:rPr>
          <w:instrText xml:space="preserve"> PAGE </w:instrText>
        </w:r>
        <w:r w:rsidR="004A2EE8" w:rsidRPr="00EF6AD1">
          <w:rPr>
            <w:b/>
            <w:bCs/>
            <w:color w:val="0070C0"/>
            <w:sz w:val="16"/>
            <w:szCs w:val="16"/>
          </w:rPr>
          <w:fldChar w:fldCharType="separate"/>
        </w:r>
        <w:r w:rsidR="00FE13A9">
          <w:rPr>
            <w:b/>
            <w:bCs/>
            <w:noProof/>
            <w:color w:val="0070C0"/>
            <w:sz w:val="16"/>
            <w:szCs w:val="16"/>
          </w:rPr>
          <w:t>4</w:t>
        </w:r>
        <w:r w:rsidR="004A2EE8" w:rsidRPr="00EF6AD1">
          <w:rPr>
            <w:b/>
            <w:bCs/>
            <w:color w:val="0070C0"/>
            <w:sz w:val="16"/>
            <w:szCs w:val="16"/>
          </w:rPr>
          <w:fldChar w:fldCharType="end"/>
        </w:r>
        <w:r w:rsidR="004A2EE8" w:rsidRPr="00EF6AD1">
          <w:rPr>
            <w:color w:val="0070C0"/>
            <w:sz w:val="16"/>
            <w:szCs w:val="16"/>
          </w:rPr>
          <w:t xml:space="preserve"> of </w:t>
        </w:r>
        <w:r w:rsidR="004A2EE8" w:rsidRPr="00EF6AD1">
          <w:rPr>
            <w:b/>
            <w:bCs/>
            <w:color w:val="0070C0"/>
            <w:sz w:val="16"/>
            <w:szCs w:val="16"/>
          </w:rPr>
          <w:fldChar w:fldCharType="begin"/>
        </w:r>
        <w:r w:rsidR="004A2EE8" w:rsidRPr="00EF6AD1">
          <w:rPr>
            <w:b/>
            <w:bCs/>
            <w:color w:val="0070C0"/>
            <w:sz w:val="16"/>
            <w:szCs w:val="16"/>
          </w:rPr>
          <w:instrText xml:space="preserve"> NUMPAGES  </w:instrText>
        </w:r>
        <w:r w:rsidR="004A2EE8" w:rsidRPr="00EF6AD1">
          <w:rPr>
            <w:b/>
            <w:bCs/>
            <w:color w:val="0070C0"/>
            <w:sz w:val="16"/>
            <w:szCs w:val="16"/>
          </w:rPr>
          <w:fldChar w:fldCharType="separate"/>
        </w:r>
        <w:r w:rsidR="00FE13A9">
          <w:rPr>
            <w:b/>
            <w:bCs/>
            <w:noProof/>
            <w:color w:val="0070C0"/>
            <w:sz w:val="16"/>
            <w:szCs w:val="16"/>
          </w:rPr>
          <w:t>4</w:t>
        </w:r>
        <w:r w:rsidR="004A2EE8" w:rsidRPr="00EF6AD1">
          <w:rPr>
            <w:b/>
            <w:bCs/>
            <w:color w:val="0070C0"/>
            <w:sz w:val="16"/>
            <w:szCs w:val="16"/>
          </w:rPr>
          <w:fldChar w:fldCharType="end"/>
        </w:r>
      </w:sdtContent>
    </w:sdt>
  </w:p>
  <w:p w:rsidR="004A2EE8" w:rsidRDefault="004A2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0B" w:rsidRPr="004A2EE8" w:rsidRDefault="0043180B" w:rsidP="004A2EE8">
    <w:pPr>
      <w:pStyle w:val="Footer"/>
      <w:jc w:val="right"/>
      <w:rPr>
        <w:color w:val="C45911" w:themeColor="accent2" w:themeShade="BF"/>
        <w:sz w:val="16"/>
        <w:szCs w:val="16"/>
      </w:rPr>
    </w:pPr>
  </w:p>
  <w:p w:rsidR="0043180B" w:rsidRDefault="00431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DF3" w:rsidRDefault="00525DF3" w:rsidP="0043180B">
      <w:pPr>
        <w:spacing w:after="0" w:line="240" w:lineRule="auto"/>
      </w:pPr>
      <w:r>
        <w:separator/>
      </w:r>
    </w:p>
  </w:footnote>
  <w:footnote w:type="continuationSeparator" w:id="0">
    <w:p w:rsidR="00525DF3" w:rsidRDefault="00525DF3" w:rsidP="00431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735B"/>
    <w:multiLevelType w:val="hybridMultilevel"/>
    <w:tmpl w:val="842A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46640"/>
    <w:multiLevelType w:val="hybridMultilevel"/>
    <w:tmpl w:val="E8C0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E63A4"/>
    <w:multiLevelType w:val="hybridMultilevel"/>
    <w:tmpl w:val="913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B1"/>
    <w:rsid w:val="00013DDE"/>
    <w:rsid w:val="00047659"/>
    <w:rsid w:val="000540ED"/>
    <w:rsid w:val="000B6B56"/>
    <w:rsid w:val="0015253C"/>
    <w:rsid w:val="001527D0"/>
    <w:rsid w:val="00164193"/>
    <w:rsid w:val="001949E5"/>
    <w:rsid w:val="001D112A"/>
    <w:rsid w:val="001E5FA3"/>
    <w:rsid w:val="00214425"/>
    <w:rsid w:val="002743ED"/>
    <w:rsid w:val="00294110"/>
    <w:rsid w:val="002A3C1A"/>
    <w:rsid w:val="00313EA1"/>
    <w:rsid w:val="00376156"/>
    <w:rsid w:val="0038393F"/>
    <w:rsid w:val="00395D13"/>
    <w:rsid w:val="003C20F0"/>
    <w:rsid w:val="003E16A3"/>
    <w:rsid w:val="00416D85"/>
    <w:rsid w:val="0043180B"/>
    <w:rsid w:val="00471EBF"/>
    <w:rsid w:val="0048582A"/>
    <w:rsid w:val="004A2EE8"/>
    <w:rsid w:val="004B00C6"/>
    <w:rsid w:val="004B7781"/>
    <w:rsid w:val="004D1710"/>
    <w:rsid w:val="004E3CBA"/>
    <w:rsid w:val="005213A9"/>
    <w:rsid w:val="00525DF3"/>
    <w:rsid w:val="005279A4"/>
    <w:rsid w:val="005D69B8"/>
    <w:rsid w:val="0062097A"/>
    <w:rsid w:val="006D19D4"/>
    <w:rsid w:val="006D44D9"/>
    <w:rsid w:val="00704444"/>
    <w:rsid w:val="007477A7"/>
    <w:rsid w:val="0077173B"/>
    <w:rsid w:val="007717D0"/>
    <w:rsid w:val="00790597"/>
    <w:rsid w:val="00791A5F"/>
    <w:rsid w:val="00792ADC"/>
    <w:rsid w:val="007C6FB1"/>
    <w:rsid w:val="007D1BCF"/>
    <w:rsid w:val="007E5E90"/>
    <w:rsid w:val="008128D3"/>
    <w:rsid w:val="00813E40"/>
    <w:rsid w:val="00820A72"/>
    <w:rsid w:val="00877C58"/>
    <w:rsid w:val="00881A24"/>
    <w:rsid w:val="008E7B08"/>
    <w:rsid w:val="008F34B4"/>
    <w:rsid w:val="008F5E57"/>
    <w:rsid w:val="00970D70"/>
    <w:rsid w:val="009753E9"/>
    <w:rsid w:val="009A6CEB"/>
    <w:rsid w:val="009B0133"/>
    <w:rsid w:val="009F5B52"/>
    <w:rsid w:val="00A21A37"/>
    <w:rsid w:val="00A36E80"/>
    <w:rsid w:val="00AA762A"/>
    <w:rsid w:val="00B229C9"/>
    <w:rsid w:val="00B249B7"/>
    <w:rsid w:val="00B61FCC"/>
    <w:rsid w:val="00BD3C8B"/>
    <w:rsid w:val="00C2103D"/>
    <w:rsid w:val="00C34502"/>
    <w:rsid w:val="00C62F02"/>
    <w:rsid w:val="00C637A2"/>
    <w:rsid w:val="00CA5D48"/>
    <w:rsid w:val="00CC17C0"/>
    <w:rsid w:val="00CD5895"/>
    <w:rsid w:val="00D1426C"/>
    <w:rsid w:val="00D401B8"/>
    <w:rsid w:val="00D60FC8"/>
    <w:rsid w:val="00DA0D8C"/>
    <w:rsid w:val="00DA33D5"/>
    <w:rsid w:val="00DB30BB"/>
    <w:rsid w:val="00DD290C"/>
    <w:rsid w:val="00E21507"/>
    <w:rsid w:val="00E31841"/>
    <w:rsid w:val="00E40A96"/>
    <w:rsid w:val="00E82F1B"/>
    <w:rsid w:val="00E8514B"/>
    <w:rsid w:val="00EE1EA1"/>
    <w:rsid w:val="00EE64CD"/>
    <w:rsid w:val="00EF6AD1"/>
    <w:rsid w:val="00F47CDF"/>
    <w:rsid w:val="00F83294"/>
    <w:rsid w:val="00FC1CA3"/>
    <w:rsid w:val="00FE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CD373-FB1B-4096-9E3C-13AA97EB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4D9"/>
    <w:pPr>
      <w:jc w:val="both"/>
    </w:pPr>
    <w:rPr>
      <w:rFonts w:ascii="Arial" w:hAnsi="Arial"/>
      <w:sz w:val="20"/>
    </w:rPr>
  </w:style>
  <w:style w:type="paragraph" w:styleId="Heading1">
    <w:name w:val="heading 1"/>
    <w:basedOn w:val="Normal"/>
    <w:next w:val="Normal"/>
    <w:link w:val="Heading1Char"/>
    <w:uiPriority w:val="9"/>
    <w:qFormat/>
    <w:rsid w:val="006D44D9"/>
    <w:pPr>
      <w:keepNext/>
      <w:keepLines/>
      <w:shd w:val="clear" w:color="auto" w:fill="0070C0"/>
      <w:spacing w:before="240" w:after="0"/>
      <w:outlineLvl w:val="0"/>
    </w:pPr>
    <w:rPr>
      <w:rFonts w:eastAsiaTheme="majorEastAsia" w:cstheme="majorBidi"/>
      <w:caps/>
      <w:color w:val="FFFFFF" w:themeColor="background1"/>
      <w:spacing w:val="20"/>
      <w:sz w:val="40"/>
      <w:szCs w:val="32"/>
    </w:rPr>
  </w:style>
  <w:style w:type="paragraph" w:styleId="Heading2">
    <w:name w:val="heading 2"/>
    <w:basedOn w:val="Normal"/>
    <w:next w:val="Normal"/>
    <w:link w:val="Heading2Char"/>
    <w:uiPriority w:val="9"/>
    <w:unhideWhenUsed/>
    <w:qFormat/>
    <w:rsid w:val="006D44D9"/>
    <w:pPr>
      <w:keepNext/>
      <w:keepLines/>
      <w:spacing w:before="40" w:after="0"/>
      <w:jc w:val="center"/>
      <w:outlineLvl w:val="1"/>
    </w:pPr>
    <w:rPr>
      <w:rFonts w:eastAsiaTheme="majorEastAsia" w:cstheme="majorBidi"/>
      <w:caps/>
      <w:color w:val="0070C0"/>
      <w:sz w:val="26"/>
      <w:szCs w:val="26"/>
    </w:rPr>
  </w:style>
  <w:style w:type="paragraph" w:styleId="Heading3">
    <w:name w:val="heading 3"/>
    <w:basedOn w:val="Normal"/>
    <w:next w:val="Normal"/>
    <w:link w:val="Heading3Char"/>
    <w:uiPriority w:val="9"/>
    <w:unhideWhenUsed/>
    <w:qFormat/>
    <w:rsid w:val="006D44D9"/>
    <w:pPr>
      <w:keepNext/>
      <w:keepLines/>
      <w:spacing w:before="40" w:after="0"/>
      <w:outlineLvl w:val="2"/>
    </w:pPr>
    <w:rPr>
      <w:rFonts w:eastAsiaTheme="majorEastAsia" w:cstheme="majorBidi"/>
      <w:cap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4D9"/>
    <w:rPr>
      <w:rFonts w:ascii="Arial" w:eastAsiaTheme="majorEastAsia" w:hAnsi="Arial" w:cstheme="majorBidi"/>
      <w:caps/>
      <w:color w:val="FFFFFF" w:themeColor="background1"/>
      <w:spacing w:val="20"/>
      <w:sz w:val="40"/>
      <w:szCs w:val="32"/>
      <w:shd w:val="clear" w:color="auto" w:fill="0070C0"/>
    </w:rPr>
  </w:style>
  <w:style w:type="table" w:styleId="TableGrid">
    <w:name w:val="Table Grid"/>
    <w:basedOn w:val="TableNormal"/>
    <w:uiPriority w:val="39"/>
    <w:rsid w:val="0004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D44D9"/>
    <w:rPr>
      <w:rFonts w:ascii="Arial" w:eastAsiaTheme="majorEastAsia" w:hAnsi="Arial" w:cstheme="majorBidi"/>
      <w:caps/>
      <w:color w:val="0070C0"/>
      <w:sz w:val="26"/>
      <w:szCs w:val="26"/>
    </w:rPr>
  </w:style>
  <w:style w:type="character" w:customStyle="1" w:styleId="Heading3Char">
    <w:name w:val="Heading 3 Char"/>
    <w:basedOn w:val="DefaultParagraphFont"/>
    <w:link w:val="Heading3"/>
    <w:uiPriority w:val="9"/>
    <w:rsid w:val="006D44D9"/>
    <w:rPr>
      <w:rFonts w:ascii="Arial" w:eastAsiaTheme="majorEastAsia" w:hAnsi="Arial" w:cstheme="majorBidi"/>
      <w:caps/>
      <w:sz w:val="20"/>
      <w:szCs w:val="24"/>
      <w:u w:val="single"/>
    </w:rPr>
  </w:style>
  <w:style w:type="paragraph" w:styleId="Title">
    <w:name w:val="Title"/>
    <w:basedOn w:val="Normal"/>
    <w:next w:val="Normal"/>
    <w:link w:val="TitleChar"/>
    <w:uiPriority w:val="10"/>
    <w:qFormat/>
    <w:rsid w:val="006D44D9"/>
    <w:pPr>
      <w:ind w:left="1440"/>
    </w:pPr>
    <w:rPr>
      <w:color w:val="0070C0"/>
      <w:sz w:val="72"/>
      <w:szCs w:val="72"/>
    </w:rPr>
  </w:style>
  <w:style w:type="character" w:customStyle="1" w:styleId="TitleChar">
    <w:name w:val="Title Char"/>
    <w:basedOn w:val="DefaultParagraphFont"/>
    <w:link w:val="Title"/>
    <w:uiPriority w:val="10"/>
    <w:rsid w:val="006D44D9"/>
    <w:rPr>
      <w:rFonts w:ascii="Arial" w:hAnsi="Arial"/>
      <w:color w:val="0070C0"/>
      <w:sz w:val="72"/>
      <w:szCs w:val="72"/>
    </w:rPr>
  </w:style>
  <w:style w:type="paragraph" w:styleId="Subtitle">
    <w:name w:val="Subtitle"/>
    <w:basedOn w:val="Normal"/>
    <w:next w:val="Normal"/>
    <w:link w:val="SubtitleChar"/>
    <w:uiPriority w:val="11"/>
    <w:qFormat/>
    <w:rsid w:val="006D44D9"/>
    <w:pPr>
      <w:numPr>
        <w:ilvl w:val="1"/>
      </w:numPr>
    </w:pPr>
    <w:rPr>
      <w:rFonts w:eastAsiaTheme="minorEastAsia"/>
      <w:caps/>
      <w:color w:val="0070C0"/>
      <w:spacing w:val="15"/>
    </w:rPr>
  </w:style>
  <w:style w:type="character" w:customStyle="1" w:styleId="SubtitleChar">
    <w:name w:val="Subtitle Char"/>
    <w:basedOn w:val="DefaultParagraphFont"/>
    <w:link w:val="Subtitle"/>
    <w:uiPriority w:val="11"/>
    <w:rsid w:val="006D44D9"/>
    <w:rPr>
      <w:rFonts w:ascii="Arial" w:eastAsiaTheme="minorEastAsia" w:hAnsi="Arial"/>
      <w:caps/>
      <w:color w:val="0070C0"/>
      <w:spacing w:val="15"/>
      <w:sz w:val="20"/>
    </w:rPr>
  </w:style>
  <w:style w:type="paragraph" w:styleId="NoSpacing">
    <w:name w:val="No Spacing"/>
    <w:link w:val="NoSpacingChar"/>
    <w:uiPriority w:val="1"/>
    <w:qFormat/>
    <w:rsid w:val="006D44D9"/>
    <w:pPr>
      <w:spacing w:after="0" w:line="240" w:lineRule="auto"/>
      <w:jc w:val="both"/>
    </w:pPr>
    <w:rPr>
      <w:rFonts w:ascii="Arial" w:hAnsi="Arial"/>
      <w:sz w:val="20"/>
    </w:rPr>
  </w:style>
  <w:style w:type="paragraph" w:styleId="Header">
    <w:name w:val="header"/>
    <w:basedOn w:val="Normal"/>
    <w:link w:val="HeaderChar"/>
    <w:uiPriority w:val="99"/>
    <w:unhideWhenUsed/>
    <w:rsid w:val="0043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0B"/>
    <w:rPr>
      <w:rFonts w:ascii="PT Sans" w:hAnsi="PT Sans"/>
      <w:sz w:val="20"/>
    </w:rPr>
  </w:style>
  <w:style w:type="paragraph" w:styleId="Footer">
    <w:name w:val="footer"/>
    <w:basedOn w:val="Normal"/>
    <w:link w:val="FooterChar"/>
    <w:uiPriority w:val="99"/>
    <w:unhideWhenUsed/>
    <w:rsid w:val="0043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0B"/>
    <w:rPr>
      <w:rFonts w:ascii="PT Sans" w:hAnsi="PT Sans"/>
      <w:sz w:val="20"/>
    </w:rPr>
  </w:style>
  <w:style w:type="paragraph" w:styleId="TOCHeading">
    <w:name w:val="TOC Heading"/>
    <w:basedOn w:val="Heading1"/>
    <w:next w:val="Normal"/>
    <w:uiPriority w:val="39"/>
    <w:unhideWhenUsed/>
    <w:qFormat/>
    <w:rsid w:val="00C637A2"/>
    <w:pPr>
      <w:shd w:val="clear" w:color="auto" w:fill="auto"/>
      <w:jc w:val="left"/>
      <w:outlineLvl w:val="9"/>
    </w:pPr>
    <w:rPr>
      <w:rFonts w:asciiTheme="majorHAnsi" w:hAnsiTheme="majorHAnsi"/>
      <w:caps w:val="0"/>
      <w:color w:val="2E74B5" w:themeColor="accent1" w:themeShade="BF"/>
      <w:spacing w:val="0"/>
      <w:sz w:val="32"/>
    </w:rPr>
  </w:style>
  <w:style w:type="paragraph" w:styleId="TOC2">
    <w:name w:val="toc 2"/>
    <w:basedOn w:val="Normal"/>
    <w:next w:val="Normal"/>
    <w:autoRedefine/>
    <w:uiPriority w:val="39"/>
    <w:unhideWhenUsed/>
    <w:rsid w:val="00C637A2"/>
    <w:pPr>
      <w:spacing w:after="100"/>
      <w:ind w:left="200"/>
    </w:pPr>
  </w:style>
  <w:style w:type="paragraph" w:styleId="TOC1">
    <w:name w:val="toc 1"/>
    <w:basedOn w:val="Normal"/>
    <w:next w:val="Normal"/>
    <w:autoRedefine/>
    <w:uiPriority w:val="39"/>
    <w:unhideWhenUsed/>
    <w:rsid w:val="00C637A2"/>
    <w:pPr>
      <w:spacing w:after="100"/>
    </w:pPr>
  </w:style>
  <w:style w:type="paragraph" w:styleId="TOC3">
    <w:name w:val="toc 3"/>
    <w:basedOn w:val="Normal"/>
    <w:next w:val="Normal"/>
    <w:autoRedefine/>
    <w:uiPriority w:val="39"/>
    <w:unhideWhenUsed/>
    <w:rsid w:val="00C637A2"/>
    <w:pPr>
      <w:spacing w:after="100"/>
      <w:ind w:left="400"/>
    </w:pPr>
  </w:style>
  <w:style w:type="character" w:styleId="Hyperlink">
    <w:name w:val="Hyperlink"/>
    <w:basedOn w:val="DefaultParagraphFont"/>
    <w:uiPriority w:val="99"/>
    <w:unhideWhenUsed/>
    <w:rsid w:val="00C637A2"/>
    <w:rPr>
      <w:color w:val="0563C1" w:themeColor="hyperlink"/>
      <w:u w:val="single"/>
    </w:rPr>
  </w:style>
  <w:style w:type="paragraph" w:styleId="ListParagraph">
    <w:name w:val="List Paragraph"/>
    <w:basedOn w:val="Normal"/>
    <w:uiPriority w:val="34"/>
    <w:qFormat/>
    <w:rsid w:val="001E5FA3"/>
    <w:pPr>
      <w:ind w:left="720"/>
      <w:contextualSpacing/>
    </w:pPr>
  </w:style>
  <w:style w:type="character" w:customStyle="1" w:styleId="NoSpacingChar">
    <w:name w:val="No Spacing Char"/>
    <w:basedOn w:val="DefaultParagraphFont"/>
    <w:link w:val="NoSpacing"/>
    <w:uiPriority w:val="1"/>
    <w:locked/>
    <w:rsid w:val="006D44D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3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4C09-6B1D-4E43-AA8D-DA51F4FB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Kurt Hansen</cp:lastModifiedBy>
  <cp:revision>2</cp:revision>
  <dcterms:created xsi:type="dcterms:W3CDTF">2015-10-19T18:55:00Z</dcterms:created>
  <dcterms:modified xsi:type="dcterms:W3CDTF">2015-10-19T18:55:00Z</dcterms:modified>
</cp:coreProperties>
</file>